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3F6C" w14:textId="77777777" w:rsidR="00A6429D" w:rsidRPr="004D4333" w:rsidRDefault="00A6429D" w:rsidP="00A6429D">
      <w:pPr>
        <w:pStyle w:val="Authornames"/>
        <w:rPr>
          <w:b/>
        </w:rPr>
      </w:pPr>
      <w:bookmarkStart w:id="0" w:name="_Hlk13966733"/>
      <w:r w:rsidRPr="004D4333">
        <w:rPr>
          <w:b/>
        </w:rPr>
        <w:t>Title of your article (Please limit the title to a maximum length of 15 words)</w:t>
      </w:r>
    </w:p>
    <w:p w14:paraId="6D6BF9DC" w14:textId="77777777" w:rsidR="00A6429D" w:rsidRDefault="00A6429D" w:rsidP="00A6429D">
      <w:pPr>
        <w:pStyle w:val="Authornames"/>
      </w:pPr>
      <w:r>
        <w:t xml:space="preserve">Author </w:t>
      </w:r>
      <w:proofErr w:type="spellStart"/>
      <w:r>
        <w:t>Name</w:t>
      </w:r>
      <w:r w:rsidRPr="00394920">
        <w:rPr>
          <w:vertAlign w:val="superscript"/>
        </w:rPr>
        <w:t>a</w:t>
      </w:r>
      <w:proofErr w:type="spellEnd"/>
      <w:r>
        <w:t xml:space="preserve">* and A. N. </w:t>
      </w:r>
      <w:proofErr w:type="spellStart"/>
      <w:r>
        <w:t>Author</w:t>
      </w:r>
      <w:r w:rsidRPr="00394920">
        <w:rPr>
          <w:vertAlign w:val="superscript"/>
        </w:rPr>
        <w:t>b</w:t>
      </w:r>
      <w:proofErr w:type="spellEnd"/>
    </w:p>
    <w:p w14:paraId="46862ADE" w14:textId="77777777" w:rsidR="00287D65" w:rsidRDefault="00A6429D" w:rsidP="00287D65">
      <w:pPr>
        <w:pStyle w:val="Affiliation"/>
        <w:spacing w:before="0" w:line="240" w:lineRule="auto"/>
      </w:pPr>
      <w:proofErr w:type="spellStart"/>
      <w:r w:rsidRPr="00394920">
        <w:rPr>
          <w:vertAlign w:val="superscript"/>
        </w:rPr>
        <w:t>a</w:t>
      </w:r>
      <w:r>
        <w:t>University</w:t>
      </w:r>
      <w:proofErr w:type="spellEnd"/>
      <w:r>
        <w:t xml:space="preserve">, Department, City, </w:t>
      </w:r>
      <w:proofErr w:type="gramStart"/>
      <w:r>
        <w:t>Country;</w:t>
      </w:r>
      <w:proofErr w:type="gramEnd"/>
      <w:r w:rsidRPr="003152C8">
        <w:t xml:space="preserve"> </w:t>
      </w:r>
    </w:p>
    <w:p w14:paraId="625D4EC7" w14:textId="3304498B" w:rsidR="00A6429D" w:rsidRDefault="00A6429D" w:rsidP="00287D65">
      <w:pPr>
        <w:pStyle w:val="Affiliation"/>
        <w:spacing w:before="0"/>
      </w:pPr>
      <w:proofErr w:type="spellStart"/>
      <w:r w:rsidRPr="00394920">
        <w:rPr>
          <w:vertAlign w:val="superscript"/>
        </w:rPr>
        <w:t>b</w:t>
      </w:r>
      <w:r>
        <w:t>University</w:t>
      </w:r>
      <w:proofErr w:type="spellEnd"/>
      <w:r>
        <w:t>, Department, City, Country</w:t>
      </w:r>
    </w:p>
    <w:bookmarkEnd w:id="0"/>
    <w:p w14:paraId="53F093F3" w14:textId="77777777" w:rsidR="00A6429D" w:rsidRDefault="00A6429D" w:rsidP="00A6429D">
      <w:pPr>
        <w:pStyle w:val="Correspondencedetails"/>
      </w:pPr>
      <w:r>
        <w:t xml:space="preserve">Provide full correspondence details here including e-mail for the *corresponding </w:t>
      </w:r>
      <w:proofErr w:type="gramStart"/>
      <w:r>
        <w:t>author</w:t>
      </w:r>
      <w:proofErr w:type="gramEnd"/>
    </w:p>
    <w:p w14:paraId="4E81E6A8" w14:textId="77777777" w:rsidR="00C246C5" w:rsidRDefault="00C14585" w:rsidP="009B24B5">
      <w:pPr>
        <w:pStyle w:val="Articletitle"/>
      </w:pPr>
      <w:r>
        <w:br w:type="page"/>
      </w:r>
      <w:r w:rsidR="00C246C5">
        <w:lastRenderedPageBreak/>
        <w:t xml:space="preserve">Repeat the title of your article </w:t>
      </w:r>
      <w:proofErr w:type="gramStart"/>
      <w:r w:rsidR="00C246C5">
        <w:t>here</w:t>
      </w:r>
      <w:proofErr w:type="gramEnd"/>
    </w:p>
    <w:p w14:paraId="687A9BFC" w14:textId="3CA36ED9" w:rsidR="00266354" w:rsidRDefault="00DD5DF0" w:rsidP="00C40BE5">
      <w:pPr>
        <w:pStyle w:val="Abstract"/>
        <w:spacing w:line="240" w:lineRule="auto"/>
        <w:jc w:val="both"/>
      </w:pPr>
      <w:bookmarkStart w:id="1" w:name="_Hlk13966812"/>
      <w:r>
        <w:rPr>
          <w:b/>
          <w:bCs/>
        </w:rPr>
        <w:t>Abstract</w:t>
      </w:r>
      <w:r w:rsidRPr="00DD5DF0">
        <w:rPr>
          <w:b/>
          <w:bCs/>
        </w:rPr>
        <w:t>:</w:t>
      </w:r>
      <w:r>
        <w:rPr>
          <w:b/>
          <w:bCs/>
        </w:rPr>
        <w:t xml:space="preserve"> </w:t>
      </w:r>
      <w:r>
        <w:t xml:space="preserve">A concise and factual abstract is required. The abstract should </w:t>
      </w:r>
      <w:proofErr w:type="gramStart"/>
      <w:r>
        <w:t>state briefly</w:t>
      </w:r>
      <w:proofErr w:type="gramEnd"/>
      <w:r>
        <w:t xml:space="preserve"> the purpose of the research, the principal results and major conclusions. An abstract is often presented separately from the article, so it must be able to stand alone. For this reason, References should be avoided, but if essential, then cite the author(s) and year(s). Also, </w:t>
      </w:r>
      <w:proofErr w:type="gramStart"/>
      <w:r>
        <w:t>non-standard</w:t>
      </w:r>
      <w:proofErr w:type="gramEnd"/>
      <w:r>
        <w:t xml:space="preserve"> or uncommon abbreviations should be avoided, but if essential they must be defined at their first mention in the abstract itself. The abstract should not be more than </w:t>
      </w:r>
      <w:r w:rsidR="00287D65">
        <w:t>2</w:t>
      </w:r>
      <w:r>
        <w:t>00 words.</w:t>
      </w:r>
    </w:p>
    <w:bookmarkEnd w:id="1"/>
    <w:p w14:paraId="42BF1466" w14:textId="24F76B2D" w:rsidR="0020415E" w:rsidRPr="0020415E" w:rsidRDefault="00997B0F" w:rsidP="00F30DFF">
      <w:pPr>
        <w:pStyle w:val="Keywords"/>
      </w:pPr>
      <w:r w:rsidRPr="00DD5DF0">
        <w:rPr>
          <w:b/>
          <w:bCs/>
        </w:rPr>
        <w:t>Keywords:</w:t>
      </w:r>
      <w:r>
        <w:t xml:space="preserve"> word; another word; lower case except names</w:t>
      </w:r>
      <w:r w:rsidR="00DD5DF0">
        <w:t>; max five keyword</w:t>
      </w:r>
    </w:p>
    <w:p w14:paraId="377E5E94" w14:textId="77777777" w:rsidR="00997B0F" w:rsidRDefault="00DF5B84" w:rsidP="00106DAF">
      <w:pPr>
        <w:pStyle w:val="Heading1"/>
      </w:pPr>
      <w:r>
        <w:t>Heading 1: u</w:t>
      </w:r>
      <w:r w:rsidR="00997B0F">
        <w:t xml:space="preserve">se this </w:t>
      </w:r>
      <w:r w:rsidR="00A2199F">
        <w:t xml:space="preserve">style </w:t>
      </w:r>
      <w:r w:rsidR="00997B0F">
        <w:t>for le</w:t>
      </w:r>
      <w:r w:rsidR="00A2199F">
        <w:t xml:space="preserve">vel one </w:t>
      </w:r>
      <w:proofErr w:type="gramStart"/>
      <w:r w:rsidR="00A2199F">
        <w:t>headings</w:t>
      </w:r>
      <w:proofErr w:type="gramEnd"/>
    </w:p>
    <w:p w14:paraId="05FF1F39" w14:textId="77777777" w:rsidR="00997B0F" w:rsidRDefault="00DD72E9" w:rsidP="00037EC2">
      <w:pPr>
        <w:pStyle w:val="Paragraph"/>
        <w:spacing w:line="240" w:lineRule="auto"/>
      </w:pPr>
      <w:r>
        <w:t xml:space="preserve">Paragraph: </w:t>
      </w:r>
      <w:r w:rsidR="007911FD">
        <w:t xml:space="preserve">use </w:t>
      </w:r>
      <w:r w:rsidR="00630901" w:rsidRPr="00CF536D">
        <w:t>this</w:t>
      </w:r>
      <w:r w:rsidR="00630901">
        <w:t xml:space="preserve"> </w:t>
      </w:r>
      <w:r w:rsidR="007911FD">
        <w:t>for the first paragraph i</w:t>
      </w:r>
      <w:r w:rsidR="00630901">
        <w:t xml:space="preserve">n </w:t>
      </w:r>
      <w:r w:rsidR="002E3C27">
        <w:t>a</w:t>
      </w:r>
      <w:r w:rsidR="007911FD">
        <w:t xml:space="preserve"> section</w:t>
      </w:r>
      <w:r w:rsidR="001E14E2">
        <w:t>,</w:t>
      </w:r>
      <w:r w:rsidR="00630901">
        <w:t xml:space="preserve"> or to continue after an extract</w:t>
      </w:r>
      <w:r w:rsidR="007911FD">
        <w:t>.</w:t>
      </w:r>
    </w:p>
    <w:p w14:paraId="48B05F91" w14:textId="0BA76CF9" w:rsidR="00D45FF3" w:rsidRDefault="00630901" w:rsidP="00287D65">
      <w:pPr>
        <w:pStyle w:val="Newparagraph"/>
        <w:spacing w:line="240" w:lineRule="auto"/>
      </w:pPr>
      <w:r>
        <w:t>New</w:t>
      </w:r>
      <w:r w:rsidR="00997B0F">
        <w:t xml:space="preserve"> paragraph</w:t>
      </w:r>
      <w:r w:rsidR="007911FD">
        <w:t xml:space="preserve">: use </w:t>
      </w:r>
      <w:r>
        <w:t xml:space="preserve">this </w:t>
      </w:r>
      <w:r w:rsidR="003E64DF">
        <w:t xml:space="preserve">style </w:t>
      </w:r>
      <w:r w:rsidR="007035A4">
        <w:t xml:space="preserve">when you need to begin </w:t>
      </w:r>
      <w:r>
        <w:t>a new paragraph</w:t>
      </w:r>
      <w:r w:rsidR="007911FD">
        <w:t>.</w:t>
      </w:r>
      <w:r w:rsidR="00287D65">
        <w:t xml:space="preserve"> </w:t>
      </w:r>
      <w:r w:rsidR="00831C89">
        <w:t xml:space="preserve">Display </w:t>
      </w:r>
      <w:r w:rsidR="00831C89" w:rsidRPr="00E81660">
        <w:t>quotation</w:t>
      </w:r>
      <w:r w:rsidR="00C0383A">
        <w:t>s</w:t>
      </w:r>
      <w:r w:rsidR="000E2D61">
        <w:t xml:space="preserve"> </w:t>
      </w:r>
      <w:r w:rsidR="0055595E">
        <w:t xml:space="preserve">of </w:t>
      </w:r>
      <w:r w:rsidR="00831C89">
        <w:t>over 40 words</w:t>
      </w:r>
      <w:r w:rsidR="0055595E">
        <w:t>,</w:t>
      </w:r>
      <w:r w:rsidR="00831C89">
        <w:t xml:space="preserve"> or </w:t>
      </w:r>
      <w:r w:rsidR="006B4A4A">
        <w:t>as</w:t>
      </w:r>
      <w:r w:rsidR="00831C89">
        <w:t xml:space="preserve"> </w:t>
      </w:r>
      <w:r w:rsidR="00D5487D">
        <w:t>needed</w:t>
      </w:r>
      <w:r w:rsidR="006B4A4A">
        <w:t>.</w:t>
      </w:r>
    </w:p>
    <w:p w14:paraId="314F10B3" w14:textId="77777777" w:rsidR="00CF2F4F" w:rsidRDefault="005E5E4A" w:rsidP="00343480">
      <w:pPr>
        <w:pStyle w:val="Bulletedlist"/>
      </w:pPr>
      <w:r>
        <w:t>F</w:t>
      </w:r>
      <w:r w:rsidR="00C02863">
        <w:t>or bulleted lists</w:t>
      </w:r>
    </w:p>
    <w:p w14:paraId="41406065" w14:textId="77777777" w:rsidR="003B5673" w:rsidRDefault="00CF2F4F" w:rsidP="00CF0A1B">
      <w:pPr>
        <w:pStyle w:val="Numberedlist"/>
      </w:pPr>
      <w:r>
        <w:t>For numbered lists</w:t>
      </w:r>
    </w:p>
    <w:p w14:paraId="5DBED376" w14:textId="77777777" w:rsidR="00EF0F45" w:rsidRDefault="00095E61" w:rsidP="007516DC">
      <w:pPr>
        <w:pStyle w:val="Displayedequation"/>
      </w:pPr>
      <w:r>
        <w:tab/>
      </w:r>
      <w:r w:rsidR="00A96B30">
        <w:t xml:space="preserve">Displayed </w:t>
      </w:r>
      <w:r w:rsidR="00331E17">
        <w:t>equation</w:t>
      </w:r>
      <w:proofErr w:type="gramStart"/>
      <w:r>
        <w:tab/>
        <w:t>( )</w:t>
      </w:r>
      <w:proofErr w:type="gramEnd"/>
    </w:p>
    <w:p w14:paraId="7CC34EB9" w14:textId="77777777" w:rsidR="00FF6CE8" w:rsidRDefault="00CF536D" w:rsidP="00743EBA">
      <w:pPr>
        <w:pStyle w:val="Heading2"/>
      </w:pPr>
      <w:r>
        <w:t>Heading 2: u</w:t>
      </w:r>
      <w:r w:rsidR="00997B0F">
        <w:t xml:space="preserve">se this </w:t>
      </w:r>
      <w:r w:rsidR="001B7CAE" w:rsidRPr="00743EBA">
        <w:t>style</w:t>
      </w:r>
      <w:r w:rsidR="001B7CAE">
        <w:t xml:space="preserve"> </w:t>
      </w:r>
      <w:r w:rsidR="00997B0F">
        <w:t xml:space="preserve">for level two </w:t>
      </w:r>
      <w:proofErr w:type="gramStart"/>
      <w:r w:rsidR="00997B0F">
        <w:t>heading</w:t>
      </w:r>
      <w:r w:rsidR="001B7CAE">
        <w:t>s</w:t>
      </w:r>
      <w:proofErr w:type="gramEnd"/>
    </w:p>
    <w:p w14:paraId="6BB00EE2" w14:textId="3B7E1B3D" w:rsidR="00997B0F" w:rsidRDefault="00CF536D" w:rsidP="00106DAF">
      <w:pPr>
        <w:pStyle w:val="Heading3"/>
      </w:pPr>
      <w:r>
        <w:t>Heading 3: u</w:t>
      </w:r>
      <w:r w:rsidR="00997B0F">
        <w:t xml:space="preserve">se this </w:t>
      </w:r>
      <w:r w:rsidR="001B7CAE">
        <w:t xml:space="preserve">style </w:t>
      </w:r>
      <w:r w:rsidR="00997B0F">
        <w:t xml:space="preserve">for level three </w:t>
      </w:r>
      <w:proofErr w:type="gramStart"/>
      <w:r w:rsidR="001B7CAE">
        <w:t>headings</w:t>
      </w:r>
      <w:proofErr w:type="gramEnd"/>
    </w:p>
    <w:p w14:paraId="5C37E1B8" w14:textId="77777777" w:rsidR="0024692A" w:rsidRDefault="002467C6" w:rsidP="00B53170">
      <w:pPr>
        <w:pStyle w:val="Heading4Paragraph"/>
      </w:pPr>
      <w:r>
        <w:rPr>
          <w:i/>
        </w:rPr>
        <w:t xml:space="preserve">Heading 4: </w:t>
      </w:r>
      <w:r w:rsidR="00E65456">
        <w:rPr>
          <w:i/>
        </w:rPr>
        <w:t>create</w:t>
      </w:r>
      <w:r w:rsidR="00DB3EAF">
        <w:rPr>
          <w:i/>
        </w:rPr>
        <w:t xml:space="preserve"> the heading</w:t>
      </w:r>
      <w:r w:rsidR="00E65456">
        <w:rPr>
          <w:i/>
        </w:rPr>
        <w:t xml:space="preserve"> in italics</w:t>
      </w:r>
      <w:r w:rsidR="00F32B80" w:rsidRPr="00671057">
        <w:t xml:space="preserve">. </w:t>
      </w:r>
      <w:r w:rsidR="00CF19F6">
        <w:t>Run t</w:t>
      </w:r>
      <w:r w:rsidR="00E65456">
        <w:t>he t</w:t>
      </w:r>
      <w:r w:rsidR="00F32B80">
        <w:t xml:space="preserve">ext on after </w:t>
      </w:r>
      <w:r>
        <w:t xml:space="preserve">a </w:t>
      </w:r>
      <w:r w:rsidR="00F32B80">
        <w:t>punctuation mark.</w:t>
      </w:r>
    </w:p>
    <w:p w14:paraId="56767BD5" w14:textId="6785820D" w:rsidR="00304017" w:rsidRPr="00E51BD6" w:rsidRDefault="00304017" w:rsidP="00287D65">
      <w:pPr>
        <w:pStyle w:val="Newparagraph"/>
        <w:spacing w:line="240" w:lineRule="auto"/>
      </w:pPr>
      <w:bookmarkStart w:id="2" w:name="_Hlk13966476"/>
      <w:r w:rsidRPr="00E51BD6">
        <w:t>Electronic versions of figures and tables in minimum resolutions of 300 dpi must be supplied. Both line drawings and photographs are referred to as figures. Papers with a poor quality of figures and tables will be returned to the authors.</w:t>
      </w:r>
      <w:bookmarkEnd w:id="2"/>
      <w:r w:rsidRPr="00E51BD6">
        <w:t xml:space="preserve"> Use </w:t>
      </w:r>
      <w:r w:rsidR="008A1D8D" w:rsidRPr="00E51BD6">
        <w:rPr>
          <w:i/>
        </w:rPr>
        <w:t>Times New Roman</w:t>
      </w:r>
      <w:r w:rsidRPr="00E51BD6">
        <w:rPr>
          <w:i/>
        </w:rPr>
        <w:t xml:space="preserve"> font</w:t>
      </w:r>
      <w:r w:rsidRPr="00E51BD6">
        <w:t xml:space="preserve">, 9 pt, for all table entries including column and row names. Please do not use too large a font in figures; use </w:t>
      </w:r>
      <w:r w:rsidR="008A1D8D" w:rsidRPr="00E51BD6">
        <w:rPr>
          <w:i/>
        </w:rPr>
        <w:t xml:space="preserve">Times New Roman </w:t>
      </w:r>
      <w:r w:rsidRPr="00E51BD6">
        <w:t xml:space="preserve">font, 9 pt, if possible. Make sure that line weights, fonts, and shading are consistent throughout the paper. Figures and tables are to be numbered consecutively with Arabic numerals in the order in which they are referred to in the text, and have brief self-explanatory captions (e.g., </w:t>
      </w:r>
      <w:r w:rsidRPr="00E51BD6">
        <w:rPr>
          <w:b/>
          <w:bCs/>
        </w:rPr>
        <w:t>Fig</w:t>
      </w:r>
      <w:r w:rsidR="008A1D8D" w:rsidRPr="00E51BD6">
        <w:rPr>
          <w:b/>
          <w:bCs/>
        </w:rPr>
        <w:t>ure</w:t>
      </w:r>
      <w:r w:rsidRPr="00E51BD6">
        <w:rPr>
          <w:b/>
          <w:bCs/>
        </w:rPr>
        <w:t xml:space="preserve"> 1</w:t>
      </w:r>
      <w:r w:rsidR="008A1D8D" w:rsidRPr="00E51BD6">
        <w:rPr>
          <w:b/>
          <w:bCs/>
        </w:rPr>
        <w:t>.</w:t>
      </w:r>
      <w:r w:rsidRPr="00E51BD6">
        <w:t xml:space="preserve"> </w:t>
      </w:r>
      <w:r w:rsidR="00037EC2" w:rsidRPr="00037EC2">
        <w:t xml:space="preserve">Rate of use of the </w:t>
      </w:r>
      <w:proofErr w:type="gramStart"/>
      <w:r w:rsidR="00037EC2" w:rsidRPr="00037EC2">
        <w:t>Industry</w:t>
      </w:r>
      <w:proofErr w:type="gramEnd"/>
      <w:r w:rsidR="00037EC2" w:rsidRPr="00037EC2">
        <w:t xml:space="preserve"> 4.0 concepts</w:t>
      </w:r>
      <w:r w:rsidRPr="00E51BD6">
        <w:t xml:space="preserve">, </w:t>
      </w:r>
      <w:r w:rsidRPr="00E51BD6">
        <w:rPr>
          <w:b/>
          <w:bCs/>
        </w:rPr>
        <w:t>Table 1</w:t>
      </w:r>
      <w:r w:rsidR="008A1D8D" w:rsidRPr="00E51BD6">
        <w:rPr>
          <w:b/>
          <w:bCs/>
        </w:rPr>
        <w:t>.</w:t>
      </w:r>
      <w:r w:rsidRPr="00E51BD6">
        <w:rPr>
          <w:bCs/>
        </w:rPr>
        <w:t xml:space="preserve"> </w:t>
      </w:r>
      <w:r w:rsidR="00037EC2" w:rsidRPr="00037EC2">
        <w:t>Use of Industry 4.0 concepts.</w:t>
      </w:r>
      <w:r w:rsidRPr="00E51BD6">
        <w:t xml:space="preserve">). Tables are numbered independently of any figures, and vice versa. Use </w:t>
      </w:r>
      <w:r w:rsidR="008A1D8D" w:rsidRPr="00E51BD6">
        <w:rPr>
          <w:i/>
        </w:rPr>
        <w:t xml:space="preserve">Times New Roman </w:t>
      </w:r>
      <w:r w:rsidRPr="00E51BD6">
        <w:t xml:space="preserve">font, 9 pt, for figures and tables captions. Figures </w:t>
      </w:r>
      <w:r w:rsidR="008A1D8D" w:rsidRPr="00E51BD6">
        <w:t xml:space="preserve">and their captions </w:t>
      </w:r>
      <w:r w:rsidRPr="00E51BD6">
        <w:t>should be centred</w:t>
      </w:r>
      <w:r w:rsidR="008A1D8D" w:rsidRPr="00E51BD6">
        <w:t>. Tables and their captions should be aligned left</w:t>
      </w:r>
      <w:r w:rsidRPr="00E51BD6">
        <w:t xml:space="preserve">. Put figures and tables as close as possible to their mention in the text, preferable at the top or bottom of a page. </w:t>
      </w:r>
    </w:p>
    <w:p w14:paraId="1A7973D9" w14:textId="0D656FB2" w:rsidR="00304017" w:rsidRDefault="00304017" w:rsidP="00E51BD6">
      <w:pPr>
        <w:pStyle w:val="Newparagraph"/>
        <w:spacing w:line="240" w:lineRule="auto"/>
      </w:pPr>
      <w:r w:rsidRPr="00E51BD6">
        <w:lastRenderedPageBreak/>
        <w:t>Figure captions appear below the figures. When referring to a figure in the body of the text, the abbreviation "Fig</w:t>
      </w:r>
      <w:r w:rsidR="008A1D8D" w:rsidRPr="00E51BD6">
        <w:t>ure</w:t>
      </w:r>
      <w:r w:rsidRPr="00E51BD6">
        <w:t xml:space="preserve">" with a proper number is used. Table captions appear above the table. When referring to a table in the text, the word "Table" with the proper number is used. Please note that each table, irrespective of the number of columns, must have </w:t>
      </w:r>
      <w:proofErr w:type="gramStart"/>
      <w:r w:rsidRPr="00E51BD6">
        <w:t>exactly the same</w:t>
      </w:r>
      <w:proofErr w:type="gramEnd"/>
      <w:r w:rsidRPr="00E51BD6">
        <w:t xml:space="preserve"> width as is line width of the body text.</w:t>
      </w:r>
    </w:p>
    <w:p w14:paraId="077AA9DA" w14:textId="77777777" w:rsidR="00E51BD6" w:rsidRPr="00E51BD6" w:rsidRDefault="00E51BD6" w:rsidP="00E51BD6">
      <w:pPr>
        <w:pStyle w:val="Newparagraph"/>
        <w:spacing w:line="240" w:lineRule="auto"/>
      </w:pPr>
    </w:p>
    <w:p w14:paraId="405DFAAA" w14:textId="77777777" w:rsidR="00304017" w:rsidRDefault="00304017" w:rsidP="00304017">
      <w:pPr>
        <w:pStyle w:val="APEMBesedilo"/>
        <w:rPr>
          <w:color w:val="auto"/>
          <w:sz w:val="10"/>
          <w:szCs w:val="10"/>
        </w:rPr>
      </w:pPr>
    </w:p>
    <w:p w14:paraId="70661363" w14:textId="6A8DEC20" w:rsidR="00304017" w:rsidRDefault="00037EC2" w:rsidP="00304017">
      <w:pPr>
        <w:pStyle w:val="APEMBesedilo"/>
        <w:jc w:val="center"/>
        <w:rPr>
          <w:color w:val="auto"/>
        </w:rPr>
      </w:pPr>
      <w:r w:rsidRPr="00DE3DE1">
        <w:rPr>
          <w:noProof/>
        </w:rPr>
        <w:drawing>
          <wp:inline distT="0" distB="0" distL="0" distR="0" wp14:anchorId="61A884D4" wp14:editId="023AB8E0">
            <wp:extent cx="5396865" cy="26508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96865" cy="2650855"/>
                    </a:xfrm>
                    <a:prstGeom prst="rect">
                      <a:avLst/>
                    </a:prstGeom>
                    <a:noFill/>
                    <a:ln w="9525">
                      <a:noFill/>
                      <a:miter lim="800000"/>
                      <a:headEnd/>
                      <a:tailEnd/>
                    </a:ln>
                  </pic:spPr>
                </pic:pic>
              </a:graphicData>
            </a:graphic>
          </wp:inline>
        </w:drawing>
      </w:r>
    </w:p>
    <w:p w14:paraId="1702AFAF" w14:textId="030DE0EB" w:rsidR="00304017" w:rsidRPr="00304017" w:rsidRDefault="00304017" w:rsidP="00304017">
      <w:pPr>
        <w:pStyle w:val="Tekst"/>
        <w:spacing w:before="120"/>
        <w:jc w:val="center"/>
        <w:rPr>
          <w:szCs w:val="18"/>
        </w:rPr>
      </w:pPr>
      <w:r w:rsidRPr="00304017">
        <w:rPr>
          <w:b/>
          <w:szCs w:val="18"/>
        </w:rPr>
        <w:t>Fig</w:t>
      </w:r>
      <w:r w:rsidR="008A1D8D">
        <w:rPr>
          <w:b/>
          <w:szCs w:val="18"/>
        </w:rPr>
        <w:t>ure</w:t>
      </w:r>
      <w:r w:rsidRPr="00304017">
        <w:rPr>
          <w:b/>
          <w:szCs w:val="18"/>
        </w:rPr>
        <w:t xml:space="preserve"> 1</w:t>
      </w:r>
      <w:r w:rsidR="008A1D8D">
        <w:rPr>
          <w:b/>
          <w:szCs w:val="18"/>
        </w:rPr>
        <w:t>.</w:t>
      </w:r>
      <w:r w:rsidRPr="00304017">
        <w:rPr>
          <w:szCs w:val="18"/>
        </w:rPr>
        <w:t xml:space="preserve"> </w:t>
      </w:r>
      <w:r w:rsidR="00037EC2" w:rsidRPr="00037EC2">
        <w:rPr>
          <w:szCs w:val="18"/>
        </w:rPr>
        <w:t xml:space="preserve">Rate of use of the </w:t>
      </w:r>
      <w:proofErr w:type="gramStart"/>
      <w:r w:rsidR="00037EC2" w:rsidRPr="00037EC2">
        <w:rPr>
          <w:szCs w:val="18"/>
        </w:rPr>
        <w:t>Industry</w:t>
      </w:r>
      <w:proofErr w:type="gramEnd"/>
      <w:r w:rsidR="00037EC2" w:rsidRPr="00037EC2">
        <w:rPr>
          <w:szCs w:val="18"/>
        </w:rPr>
        <w:t xml:space="preserve"> 4.0 concepts</w:t>
      </w:r>
    </w:p>
    <w:p w14:paraId="5D1A83A5" w14:textId="77777777" w:rsidR="00304017" w:rsidRDefault="00304017" w:rsidP="00304017">
      <w:pPr>
        <w:tabs>
          <w:tab w:val="left" w:pos="284"/>
        </w:tabs>
        <w:spacing w:after="40" w:line="240" w:lineRule="auto"/>
        <w:jc w:val="center"/>
        <w:rPr>
          <w:rFonts w:ascii="Cambria" w:hAnsi="Cambria" w:cs="Arial"/>
          <w:b/>
          <w:sz w:val="18"/>
          <w:szCs w:val="18"/>
        </w:rPr>
      </w:pPr>
    </w:p>
    <w:p w14:paraId="5D393E2F" w14:textId="68630E4C" w:rsidR="00304017" w:rsidRPr="00304017" w:rsidRDefault="00304017" w:rsidP="008A1D8D">
      <w:pPr>
        <w:spacing w:after="40" w:line="240" w:lineRule="auto"/>
        <w:rPr>
          <w:sz w:val="18"/>
          <w:szCs w:val="18"/>
        </w:rPr>
      </w:pPr>
      <w:r w:rsidRPr="00304017">
        <w:rPr>
          <w:b/>
          <w:sz w:val="18"/>
          <w:szCs w:val="18"/>
        </w:rPr>
        <w:t>Table 1</w:t>
      </w:r>
      <w:r w:rsidR="008A1D8D">
        <w:rPr>
          <w:b/>
          <w:sz w:val="18"/>
          <w:szCs w:val="18"/>
        </w:rPr>
        <w:t>.</w:t>
      </w:r>
      <w:r w:rsidRPr="00304017">
        <w:rPr>
          <w:sz w:val="18"/>
          <w:szCs w:val="18"/>
        </w:rPr>
        <w:t xml:space="preserve"> </w:t>
      </w:r>
      <w:r w:rsidR="00037EC2" w:rsidRPr="00037EC2">
        <w:rPr>
          <w:sz w:val="18"/>
          <w:szCs w:val="18"/>
        </w:rPr>
        <w:t>Use of Industry 4.0 concepts.</w:t>
      </w:r>
    </w:p>
    <w:tbl>
      <w:tblPr>
        <w:tblW w:w="0" w:type="auto"/>
        <w:tblInd w:w="108" w:type="dxa"/>
        <w:tblLook w:val="04A0" w:firstRow="1" w:lastRow="0" w:firstColumn="1" w:lastColumn="0" w:noHBand="0" w:noVBand="1"/>
      </w:tblPr>
      <w:tblGrid>
        <w:gridCol w:w="5275"/>
        <w:gridCol w:w="1079"/>
        <w:gridCol w:w="718"/>
        <w:gridCol w:w="1319"/>
      </w:tblGrid>
      <w:tr w:rsidR="00037EC2" w:rsidRPr="00037EC2" w14:paraId="4148BA8C" w14:textId="77777777" w:rsidTr="00D81174">
        <w:tc>
          <w:tcPr>
            <w:tcW w:w="5812" w:type="dxa"/>
            <w:tcBorders>
              <w:top w:val="single" w:sz="4" w:space="0" w:color="auto"/>
              <w:bottom w:val="single" w:sz="4" w:space="0" w:color="auto"/>
            </w:tcBorders>
            <w:shd w:val="clear" w:color="auto" w:fill="auto"/>
          </w:tcPr>
          <w:p w14:paraId="39DF8CDA" w14:textId="77777777" w:rsidR="00037EC2" w:rsidRPr="00037EC2" w:rsidRDefault="00037EC2" w:rsidP="00D81174">
            <w:pPr>
              <w:spacing w:line="240" w:lineRule="auto"/>
              <w:jc w:val="both"/>
              <w:rPr>
                <w:sz w:val="18"/>
                <w:szCs w:val="18"/>
              </w:rPr>
            </w:pPr>
            <w:r w:rsidRPr="00037EC2">
              <w:rPr>
                <w:sz w:val="18"/>
                <w:szCs w:val="18"/>
              </w:rPr>
              <w:t>Industry 4.0 technology concepts</w:t>
            </w:r>
          </w:p>
        </w:tc>
        <w:tc>
          <w:tcPr>
            <w:tcW w:w="1134" w:type="dxa"/>
            <w:tcBorders>
              <w:top w:val="single" w:sz="4" w:space="0" w:color="auto"/>
              <w:bottom w:val="single" w:sz="4" w:space="0" w:color="auto"/>
            </w:tcBorders>
            <w:shd w:val="clear" w:color="auto" w:fill="auto"/>
          </w:tcPr>
          <w:p w14:paraId="502B4FF3" w14:textId="77777777" w:rsidR="00037EC2" w:rsidRPr="00037EC2" w:rsidRDefault="00037EC2" w:rsidP="00D81174">
            <w:pPr>
              <w:spacing w:line="240" w:lineRule="auto"/>
              <w:jc w:val="center"/>
              <w:rPr>
                <w:sz w:val="18"/>
                <w:szCs w:val="18"/>
              </w:rPr>
            </w:pPr>
            <w:r w:rsidRPr="00037EC2">
              <w:rPr>
                <w:sz w:val="18"/>
                <w:szCs w:val="18"/>
              </w:rPr>
              <w:t>Share (%)</w:t>
            </w:r>
          </w:p>
        </w:tc>
        <w:tc>
          <w:tcPr>
            <w:tcW w:w="735" w:type="dxa"/>
            <w:tcBorders>
              <w:top w:val="single" w:sz="4" w:space="0" w:color="auto"/>
              <w:bottom w:val="single" w:sz="4" w:space="0" w:color="auto"/>
            </w:tcBorders>
            <w:shd w:val="clear" w:color="auto" w:fill="auto"/>
          </w:tcPr>
          <w:p w14:paraId="28A7056E" w14:textId="77777777" w:rsidR="00037EC2" w:rsidRPr="00037EC2" w:rsidRDefault="00037EC2" w:rsidP="00D81174">
            <w:pPr>
              <w:spacing w:line="240" w:lineRule="auto"/>
              <w:jc w:val="center"/>
              <w:rPr>
                <w:sz w:val="18"/>
                <w:szCs w:val="18"/>
              </w:rPr>
            </w:pPr>
            <w:r w:rsidRPr="00037EC2">
              <w:rPr>
                <w:sz w:val="18"/>
                <w:szCs w:val="18"/>
              </w:rPr>
              <w:t>Rank</w:t>
            </w:r>
          </w:p>
        </w:tc>
        <w:tc>
          <w:tcPr>
            <w:tcW w:w="1391" w:type="dxa"/>
            <w:tcBorders>
              <w:top w:val="single" w:sz="4" w:space="0" w:color="auto"/>
              <w:bottom w:val="single" w:sz="4" w:space="0" w:color="auto"/>
            </w:tcBorders>
            <w:shd w:val="clear" w:color="auto" w:fill="auto"/>
          </w:tcPr>
          <w:p w14:paraId="2A8812DF" w14:textId="77777777" w:rsidR="00037EC2" w:rsidRPr="00037EC2" w:rsidRDefault="00037EC2" w:rsidP="00D81174">
            <w:pPr>
              <w:spacing w:line="240" w:lineRule="auto"/>
              <w:jc w:val="center"/>
              <w:rPr>
                <w:sz w:val="18"/>
                <w:szCs w:val="18"/>
              </w:rPr>
            </w:pPr>
            <w:r w:rsidRPr="00037EC2">
              <w:rPr>
                <w:sz w:val="18"/>
                <w:szCs w:val="18"/>
              </w:rPr>
              <w:t>Planned use</w:t>
            </w:r>
          </w:p>
        </w:tc>
      </w:tr>
      <w:tr w:rsidR="00037EC2" w:rsidRPr="00037EC2" w14:paraId="1396B92F" w14:textId="77777777" w:rsidTr="00D81174">
        <w:tc>
          <w:tcPr>
            <w:tcW w:w="5812" w:type="dxa"/>
            <w:tcBorders>
              <w:top w:val="single" w:sz="4" w:space="0" w:color="auto"/>
            </w:tcBorders>
            <w:shd w:val="clear" w:color="auto" w:fill="auto"/>
            <w:vAlign w:val="bottom"/>
          </w:tcPr>
          <w:p w14:paraId="1E2955EB" w14:textId="77777777" w:rsidR="00037EC2" w:rsidRPr="00037EC2" w:rsidRDefault="00037EC2" w:rsidP="00D81174">
            <w:pPr>
              <w:spacing w:line="240" w:lineRule="auto"/>
              <w:rPr>
                <w:rFonts w:cs="Calibri"/>
                <w:sz w:val="18"/>
                <w:szCs w:val="18"/>
              </w:rPr>
            </w:pPr>
            <w:r w:rsidRPr="00037EC2">
              <w:rPr>
                <w:rFonts w:cs="Calibri"/>
                <w:sz w:val="18"/>
                <w:szCs w:val="18"/>
              </w:rPr>
              <w:t>Devices for programming and handling of machines</w:t>
            </w:r>
          </w:p>
        </w:tc>
        <w:tc>
          <w:tcPr>
            <w:tcW w:w="1134" w:type="dxa"/>
            <w:tcBorders>
              <w:top w:val="single" w:sz="4" w:space="0" w:color="auto"/>
            </w:tcBorders>
            <w:shd w:val="clear" w:color="auto" w:fill="auto"/>
            <w:vAlign w:val="bottom"/>
          </w:tcPr>
          <w:p w14:paraId="32D1CFAB" w14:textId="77777777" w:rsidR="00037EC2" w:rsidRPr="00037EC2" w:rsidRDefault="00037EC2" w:rsidP="00D81174">
            <w:pPr>
              <w:spacing w:line="240" w:lineRule="auto"/>
              <w:jc w:val="center"/>
              <w:rPr>
                <w:rFonts w:cs="Calibri"/>
                <w:sz w:val="18"/>
                <w:szCs w:val="18"/>
              </w:rPr>
            </w:pPr>
            <w:r w:rsidRPr="00037EC2">
              <w:rPr>
                <w:rFonts w:cs="Calibri"/>
                <w:sz w:val="18"/>
                <w:szCs w:val="18"/>
              </w:rPr>
              <w:t>6.8%</w:t>
            </w:r>
          </w:p>
        </w:tc>
        <w:tc>
          <w:tcPr>
            <w:tcW w:w="735" w:type="dxa"/>
            <w:tcBorders>
              <w:top w:val="single" w:sz="4" w:space="0" w:color="auto"/>
            </w:tcBorders>
            <w:shd w:val="clear" w:color="auto" w:fill="auto"/>
            <w:vAlign w:val="bottom"/>
          </w:tcPr>
          <w:p w14:paraId="3618AEE9" w14:textId="77777777" w:rsidR="00037EC2" w:rsidRPr="00037EC2" w:rsidRDefault="00037EC2" w:rsidP="00D81174">
            <w:pPr>
              <w:spacing w:line="240" w:lineRule="auto"/>
              <w:jc w:val="center"/>
              <w:rPr>
                <w:rFonts w:cs="Calibri"/>
                <w:sz w:val="18"/>
                <w:szCs w:val="18"/>
              </w:rPr>
            </w:pPr>
            <w:r w:rsidRPr="00037EC2">
              <w:rPr>
                <w:rFonts w:cs="Calibri"/>
                <w:sz w:val="18"/>
                <w:szCs w:val="18"/>
              </w:rPr>
              <w:t>8</w:t>
            </w:r>
          </w:p>
        </w:tc>
        <w:tc>
          <w:tcPr>
            <w:tcW w:w="1391" w:type="dxa"/>
            <w:tcBorders>
              <w:top w:val="single" w:sz="4" w:space="0" w:color="auto"/>
            </w:tcBorders>
            <w:shd w:val="clear" w:color="auto" w:fill="auto"/>
            <w:vAlign w:val="bottom"/>
          </w:tcPr>
          <w:p w14:paraId="6BFAE7AD" w14:textId="77777777" w:rsidR="00037EC2" w:rsidRPr="00037EC2" w:rsidRDefault="00037EC2" w:rsidP="00D81174">
            <w:pPr>
              <w:spacing w:line="240" w:lineRule="auto"/>
              <w:jc w:val="center"/>
              <w:rPr>
                <w:rFonts w:cs="Calibri"/>
                <w:sz w:val="18"/>
                <w:szCs w:val="18"/>
              </w:rPr>
            </w:pPr>
            <w:r w:rsidRPr="00037EC2">
              <w:rPr>
                <w:rFonts w:cs="Calibri"/>
                <w:sz w:val="18"/>
                <w:szCs w:val="18"/>
              </w:rPr>
              <w:t>9.6%</w:t>
            </w:r>
          </w:p>
        </w:tc>
      </w:tr>
      <w:tr w:rsidR="00037EC2" w:rsidRPr="00037EC2" w14:paraId="6E8EAEF4" w14:textId="77777777" w:rsidTr="00D81174">
        <w:tc>
          <w:tcPr>
            <w:tcW w:w="5812" w:type="dxa"/>
            <w:shd w:val="clear" w:color="auto" w:fill="auto"/>
            <w:vAlign w:val="bottom"/>
          </w:tcPr>
          <w:p w14:paraId="184AF1C1" w14:textId="77777777" w:rsidR="00037EC2" w:rsidRPr="00037EC2" w:rsidRDefault="00037EC2" w:rsidP="00D81174">
            <w:pPr>
              <w:spacing w:line="240" w:lineRule="auto"/>
              <w:rPr>
                <w:rFonts w:cs="Calibri"/>
                <w:sz w:val="18"/>
                <w:szCs w:val="18"/>
              </w:rPr>
            </w:pPr>
            <w:r w:rsidRPr="00037EC2">
              <w:rPr>
                <w:rFonts w:cs="Calibri"/>
                <w:sz w:val="18"/>
                <w:szCs w:val="18"/>
              </w:rPr>
              <w:t>Product lifecycle management systems</w:t>
            </w:r>
          </w:p>
        </w:tc>
        <w:tc>
          <w:tcPr>
            <w:tcW w:w="1134" w:type="dxa"/>
            <w:shd w:val="clear" w:color="auto" w:fill="auto"/>
            <w:vAlign w:val="bottom"/>
          </w:tcPr>
          <w:p w14:paraId="0E293D00" w14:textId="77777777" w:rsidR="00037EC2" w:rsidRPr="00037EC2" w:rsidRDefault="00037EC2" w:rsidP="00D81174">
            <w:pPr>
              <w:spacing w:line="240" w:lineRule="auto"/>
              <w:jc w:val="center"/>
              <w:rPr>
                <w:rFonts w:cs="Calibri"/>
                <w:sz w:val="18"/>
                <w:szCs w:val="18"/>
              </w:rPr>
            </w:pPr>
            <w:r w:rsidRPr="00037EC2">
              <w:rPr>
                <w:rFonts w:cs="Calibri"/>
                <w:sz w:val="18"/>
                <w:szCs w:val="18"/>
              </w:rPr>
              <w:t>8.9%</w:t>
            </w:r>
          </w:p>
        </w:tc>
        <w:tc>
          <w:tcPr>
            <w:tcW w:w="735" w:type="dxa"/>
            <w:shd w:val="clear" w:color="auto" w:fill="auto"/>
            <w:vAlign w:val="bottom"/>
          </w:tcPr>
          <w:p w14:paraId="5F15F234" w14:textId="77777777" w:rsidR="00037EC2" w:rsidRPr="00037EC2" w:rsidRDefault="00037EC2" w:rsidP="00D81174">
            <w:pPr>
              <w:spacing w:line="240" w:lineRule="auto"/>
              <w:jc w:val="center"/>
              <w:rPr>
                <w:rFonts w:cs="Calibri"/>
                <w:sz w:val="18"/>
                <w:szCs w:val="18"/>
              </w:rPr>
            </w:pPr>
            <w:r w:rsidRPr="00037EC2">
              <w:rPr>
                <w:rFonts w:cs="Calibri"/>
                <w:sz w:val="18"/>
                <w:szCs w:val="18"/>
              </w:rPr>
              <w:t>7</w:t>
            </w:r>
          </w:p>
        </w:tc>
        <w:tc>
          <w:tcPr>
            <w:tcW w:w="1391" w:type="dxa"/>
            <w:shd w:val="clear" w:color="auto" w:fill="auto"/>
            <w:vAlign w:val="bottom"/>
          </w:tcPr>
          <w:p w14:paraId="67F9A07C" w14:textId="77777777" w:rsidR="00037EC2" w:rsidRPr="00037EC2" w:rsidRDefault="00037EC2" w:rsidP="00D81174">
            <w:pPr>
              <w:spacing w:line="240" w:lineRule="auto"/>
              <w:jc w:val="center"/>
              <w:rPr>
                <w:rFonts w:cs="Calibri"/>
                <w:sz w:val="18"/>
                <w:szCs w:val="18"/>
              </w:rPr>
            </w:pPr>
            <w:r w:rsidRPr="00037EC2">
              <w:rPr>
                <w:rFonts w:cs="Calibri"/>
                <w:sz w:val="18"/>
                <w:szCs w:val="18"/>
              </w:rPr>
              <w:t>8.6%</w:t>
            </w:r>
          </w:p>
        </w:tc>
      </w:tr>
      <w:tr w:rsidR="00037EC2" w:rsidRPr="00037EC2" w14:paraId="2965D769" w14:textId="77777777" w:rsidTr="00D81174">
        <w:tc>
          <w:tcPr>
            <w:tcW w:w="5812" w:type="dxa"/>
            <w:shd w:val="clear" w:color="auto" w:fill="auto"/>
            <w:vAlign w:val="bottom"/>
          </w:tcPr>
          <w:p w14:paraId="72DAB4C8" w14:textId="77777777" w:rsidR="00037EC2" w:rsidRPr="00037EC2" w:rsidRDefault="00037EC2" w:rsidP="00D81174">
            <w:pPr>
              <w:spacing w:line="240" w:lineRule="auto"/>
              <w:rPr>
                <w:rFonts w:cs="Calibri"/>
                <w:sz w:val="18"/>
                <w:szCs w:val="18"/>
              </w:rPr>
            </w:pPr>
            <w:r w:rsidRPr="00037EC2">
              <w:rPr>
                <w:rFonts w:cs="Calibri"/>
                <w:sz w:val="18"/>
                <w:szCs w:val="18"/>
              </w:rPr>
              <w:t>Technologies for safe human-machine interaction</w:t>
            </w:r>
          </w:p>
        </w:tc>
        <w:tc>
          <w:tcPr>
            <w:tcW w:w="1134" w:type="dxa"/>
            <w:shd w:val="clear" w:color="auto" w:fill="auto"/>
            <w:vAlign w:val="bottom"/>
          </w:tcPr>
          <w:p w14:paraId="4B565D75" w14:textId="77777777" w:rsidR="00037EC2" w:rsidRPr="00037EC2" w:rsidRDefault="00037EC2" w:rsidP="00D81174">
            <w:pPr>
              <w:spacing w:line="240" w:lineRule="auto"/>
              <w:jc w:val="center"/>
              <w:rPr>
                <w:rFonts w:cs="Calibri"/>
                <w:sz w:val="18"/>
                <w:szCs w:val="18"/>
              </w:rPr>
            </w:pPr>
            <w:r w:rsidRPr="00037EC2">
              <w:rPr>
                <w:rFonts w:cs="Calibri"/>
                <w:sz w:val="18"/>
                <w:szCs w:val="18"/>
              </w:rPr>
              <w:t>11.4%</w:t>
            </w:r>
          </w:p>
        </w:tc>
        <w:tc>
          <w:tcPr>
            <w:tcW w:w="735" w:type="dxa"/>
            <w:shd w:val="clear" w:color="auto" w:fill="auto"/>
            <w:vAlign w:val="bottom"/>
          </w:tcPr>
          <w:p w14:paraId="4B4C34A2" w14:textId="77777777" w:rsidR="00037EC2" w:rsidRPr="00037EC2" w:rsidRDefault="00037EC2" w:rsidP="00D81174">
            <w:pPr>
              <w:spacing w:line="240" w:lineRule="auto"/>
              <w:jc w:val="center"/>
              <w:rPr>
                <w:rFonts w:cs="Calibri"/>
                <w:sz w:val="18"/>
                <w:szCs w:val="18"/>
              </w:rPr>
            </w:pPr>
            <w:r w:rsidRPr="00037EC2">
              <w:rPr>
                <w:rFonts w:cs="Calibri"/>
                <w:sz w:val="18"/>
                <w:szCs w:val="18"/>
              </w:rPr>
              <w:t>6</w:t>
            </w:r>
          </w:p>
        </w:tc>
        <w:tc>
          <w:tcPr>
            <w:tcW w:w="1391" w:type="dxa"/>
            <w:shd w:val="clear" w:color="auto" w:fill="auto"/>
            <w:vAlign w:val="bottom"/>
          </w:tcPr>
          <w:p w14:paraId="458C109B" w14:textId="77777777" w:rsidR="00037EC2" w:rsidRPr="00037EC2" w:rsidRDefault="00037EC2" w:rsidP="00D81174">
            <w:pPr>
              <w:spacing w:line="240" w:lineRule="auto"/>
              <w:jc w:val="center"/>
              <w:rPr>
                <w:rFonts w:cs="Calibri"/>
                <w:sz w:val="18"/>
                <w:szCs w:val="18"/>
              </w:rPr>
            </w:pPr>
            <w:r w:rsidRPr="00037EC2">
              <w:rPr>
                <w:rFonts w:cs="Calibri"/>
                <w:sz w:val="18"/>
                <w:szCs w:val="18"/>
              </w:rPr>
              <w:t>4.3%</w:t>
            </w:r>
          </w:p>
        </w:tc>
      </w:tr>
      <w:tr w:rsidR="00037EC2" w:rsidRPr="00037EC2" w14:paraId="2827A617" w14:textId="77777777" w:rsidTr="00D81174">
        <w:tc>
          <w:tcPr>
            <w:tcW w:w="5812" w:type="dxa"/>
            <w:shd w:val="clear" w:color="auto" w:fill="auto"/>
            <w:vAlign w:val="bottom"/>
          </w:tcPr>
          <w:p w14:paraId="4305AD76" w14:textId="77777777" w:rsidR="00037EC2" w:rsidRPr="00037EC2" w:rsidRDefault="00037EC2" w:rsidP="00D81174">
            <w:pPr>
              <w:spacing w:line="240" w:lineRule="auto"/>
              <w:rPr>
                <w:rFonts w:cs="Calibri"/>
                <w:sz w:val="18"/>
                <w:szCs w:val="18"/>
              </w:rPr>
            </w:pPr>
            <w:r w:rsidRPr="00037EC2">
              <w:rPr>
                <w:rFonts w:cs="Calibri"/>
                <w:sz w:val="18"/>
                <w:szCs w:val="18"/>
              </w:rPr>
              <w:t>Digital visualization</w:t>
            </w:r>
          </w:p>
        </w:tc>
        <w:tc>
          <w:tcPr>
            <w:tcW w:w="1134" w:type="dxa"/>
            <w:shd w:val="clear" w:color="auto" w:fill="auto"/>
            <w:vAlign w:val="bottom"/>
          </w:tcPr>
          <w:p w14:paraId="4BDC6B4C" w14:textId="77777777" w:rsidR="00037EC2" w:rsidRPr="00037EC2" w:rsidRDefault="00037EC2" w:rsidP="00D81174">
            <w:pPr>
              <w:spacing w:line="240" w:lineRule="auto"/>
              <w:jc w:val="center"/>
              <w:rPr>
                <w:rFonts w:cs="Calibri"/>
                <w:sz w:val="18"/>
                <w:szCs w:val="18"/>
              </w:rPr>
            </w:pPr>
            <w:r w:rsidRPr="00037EC2">
              <w:rPr>
                <w:rFonts w:cs="Calibri"/>
                <w:sz w:val="18"/>
                <w:szCs w:val="18"/>
              </w:rPr>
              <w:t>12.1%</w:t>
            </w:r>
          </w:p>
        </w:tc>
        <w:tc>
          <w:tcPr>
            <w:tcW w:w="735" w:type="dxa"/>
            <w:shd w:val="clear" w:color="auto" w:fill="auto"/>
            <w:vAlign w:val="bottom"/>
          </w:tcPr>
          <w:p w14:paraId="620D1DDF" w14:textId="77777777" w:rsidR="00037EC2" w:rsidRPr="00037EC2" w:rsidRDefault="00037EC2" w:rsidP="00D81174">
            <w:pPr>
              <w:spacing w:line="240" w:lineRule="auto"/>
              <w:jc w:val="center"/>
              <w:rPr>
                <w:rFonts w:cs="Calibri"/>
                <w:sz w:val="18"/>
                <w:szCs w:val="18"/>
              </w:rPr>
            </w:pPr>
            <w:r w:rsidRPr="00037EC2">
              <w:rPr>
                <w:rFonts w:cs="Calibri"/>
                <w:sz w:val="18"/>
                <w:szCs w:val="18"/>
              </w:rPr>
              <w:t>5</w:t>
            </w:r>
          </w:p>
        </w:tc>
        <w:tc>
          <w:tcPr>
            <w:tcW w:w="1391" w:type="dxa"/>
            <w:shd w:val="clear" w:color="auto" w:fill="auto"/>
            <w:vAlign w:val="bottom"/>
          </w:tcPr>
          <w:p w14:paraId="2C3FD6FE" w14:textId="77777777" w:rsidR="00037EC2" w:rsidRPr="00037EC2" w:rsidRDefault="00037EC2" w:rsidP="00D81174">
            <w:pPr>
              <w:spacing w:line="240" w:lineRule="auto"/>
              <w:jc w:val="center"/>
              <w:rPr>
                <w:rFonts w:cs="Calibri"/>
                <w:sz w:val="18"/>
                <w:szCs w:val="18"/>
              </w:rPr>
            </w:pPr>
            <w:r w:rsidRPr="00037EC2">
              <w:rPr>
                <w:rFonts w:cs="Calibri"/>
                <w:sz w:val="18"/>
                <w:szCs w:val="18"/>
              </w:rPr>
              <w:t>9.6%</w:t>
            </w:r>
          </w:p>
        </w:tc>
      </w:tr>
      <w:tr w:rsidR="00037EC2" w:rsidRPr="00037EC2" w14:paraId="2774E0E2" w14:textId="77777777" w:rsidTr="00D81174">
        <w:tc>
          <w:tcPr>
            <w:tcW w:w="5812" w:type="dxa"/>
            <w:shd w:val="clear" w:color="auto" w:fill="auto"/>
            <w:vAlign w:val="bottom"/>
          </w:tcPr>
          <w:p w14:paraId="141B95B4" w14:textId="77777777" w:rsidR="00037EC2" w:rsidRPr="00037EC2" w:rsidRDefault="00037EC2" w:rsidP="00D81174">
            <w:pPr>
              <w:spacing w:line="240" w:lineRule="auto"/>
              <w:rPr>
                <w:rFonts w:cs="Calibri"/>
                <w:sz w:val="18"/>
                <w:szCs w:val="18"/>
              </w:rPr>
            </w:pPr>
            <w:r w:rsidRPr="00037EC2">
              <w:rPr>
                <w:rFonts w:cs="Calibri"/>
                <w:sz w:val="18"/>
                <w:szCs w:val="18"/>
              </w:rPr>
              <w:t>Systems for automation and management of internal logistics</w:t>
            </w:r>
          </w:p>
        </w:tc>
        <w:tc>
          <w:tcPr>
            <w:tcW w:w="1134" w:type="dxa"/>
            <w:shd w:val="clear" w:color="auto" w:fill="auto"/>
            <w:vAlign w:val="bottom"/>
          </w:tcPr>
          <w:p w14:paraId="014AC999" w14:textId="77777777" w:rsidR="00037EC2" w:rsidRPr="00037EC2" w:rsidRDefault="00037EC2" w:rsidP="00D81174">
            <w:pPr>
              <w:spacing w:line="240" w:lineRule="auto"/>
              <w:jc w:val="center"/>
              <w:rPr>
                <w:rFonts w:cs="Calibri"/>
                <w:sz w:val="18"/>
                <w:szCs w:val="18"/>
              </w:rPr>
            </w:pPr>
            <w:r w:rsidRPr="00037EC2">
              <w:rPr>
                <w:rFonts w:cs="Calibri"/>
                <w:sz w:val="18"/>
                <w:szCs w:val="18"/>
              </w:rPr>
              <w:t>18.6%</w:t>
            </w:r>
          </w:p>
        </w:tc>
        <w:tc>
          <w:tcPr>
            <w:tcW w:w="735" w:type="dxa"/>
            <w:shd w:val="clear" w:color="auto" w:fill="auto"/>
            <w:vAlign w:val="bottom"/>
          </w:tcPr>
          <w:p w14:paraId="2D24B6B1" w14:textId="77777777" w:rsidR="00037EC2" w:rsidRPr="00037EC2" w:rsidRDefault="00037EC2" w:rsidP="00D81174">
            <w:pPr>
              <w:spacing w:line="240" w:lineRule="auto"/>
              <w:jc w:val="center"/>
              <w:rPr>
                <w:rFonts w:cs="Calibri"/>
                <w:sz w:val="18"/>
                <w:szCs w:val="18"/>
              </w:rPr>
            </w:pPr>
            <w:r w:rsidRPr="00037EC2">
              <w:rPr>
                <w:rFonts w:cs="Calibri"/>
                <w:sz w:val="18"/>
                <w:szCs w:val="18"/>
              </w:rPr>
              <w:t>4</w:t>
            </w:r>
          </w:p>
        </w:tc>
        <w:tc>
          <w:tcPr>
            <w:tcW w:w="1391" w:type="dxa"/>
            <w:shd w:val="clear" w:color="auto" w:fill="auto"/>
            <w:vAlign w:val="bottom"/>
          </w:tcPr>
          <w:p w14:paraId="74818269" w14:textId="77777777" w:rsidR="00037EC2" w:rsidRPr="00037EC2" w:rsidRDefault="00037EC2" w:rsidP="00D81174">
            <w:pPr>
              <w:spacing w:line="240" w:lineRule="auto"/>
              <w:jc w:val="center"/>
              <w:rPr>
                <w:rFonts w:cs="Calibri"/>
                <w:sz w:val="18"/>
                <w:szCs w:val="18"/>
              </w:rPr>
            </w:pPr>
            <w:r w:rsidRPr="00037EC2">
              <w:rPr>
                <w:rFonts w:cs="Calibri"/>
                <w:sz w:val="18"/>
                <w:szCs w:val="18"/>
              </w:rPr>
              <w:t>10.7%</w:t>
            </w:r>
          </w:p>
        </w:tc>
      </w:tr>
      <w:tr w:rsidR="00037EC2" w:rsidRPr="00037EC2" w14:paraId="568AC3C2" w14:textId="77777777" w:rsidTr="00D81174">
        <w:tc>
          <w:tcPr>
            <w:tcW w:w="5812" w:type="dxa"/>
            <w:shd w:val="clear" w:color="auto" w:fill="auto"/>
            <w:vAlign w:val="bottom"/>
          </w:tcPr>
          <w:p w14:paraId="49E3FB2B" w14:textId="77777777" w:rsidR="00037EC2" w:rsidRPr="00037EC2" w:rsidRDefault="00037EC2" w:rsidP="00D81174">
            <w:pPr>
              <w:spacing w:line="240" w:lineRule="auto"/>
              <w:rPr>
                <w:rFonts w:cs="Calibri"/>
                <w:sz w:val="18"/>
                <w:szCs w:val="18"/>
              </w:rPr>
            </w:pPr>
            <w:r w:rsidRPr="00037EC2">
              <w:rPr>
                <w:rFonts w:cs="Calibri"/>
                <w:sz w:val="18"/>
                <w:szCs w:val="18"/>
              </w:rPr>
              <w:t>Digital exchange of product/process data</w:t>
            </w:r>
          </w:p>
        </w:tc>
        <w:tc>
          <w:tcPr>
            <w:tcW w:w="1134" w:type="dxa"/>
            <w:shd w:val="clear" w:color="auto" w:fill="auto"/>
            <w:vAlign w:val="bottom"/>
          </w:tcPr>
          <w:p w14:paraId="4A277BE2" w14:textId="77777777" w:rsidR="00037EC2" w:rsidRPr="00037EC2" w:rsidRDefault="00037EC2" w:rsidP="00D81174">
            <w:pPr>
              <w:spacing w:line="240" w:lineRule="auto"/>
              <w:jc w:val="center"/>
              <w:rPr>
                <w:rFonts w:cs="Calibri"/>
                <w:sz w:val="18"/>
                <w:szCs w:val="18"/>
              </w:rPr>
            </w:pPr>
            <w:r w:rsidRPr="00037EC2">
              <w:rPr>
                <w:rFonts w:cs="Calibri"/>
                <w:sz w:val="18"/>
                <w:szCs w:val="18"/>
              </w:rPr>
              <w:t>21.4%</w:t>
            </w:r>
          </w:p>
        </w:tc>
        <w:tc>
          <w:tcPr>
            <w:tcW w:w="735" w:type="dxa"/>
            <w:shd w:val="clear" w:color="auto" w:fill="auto"/>
            <w:vAlign w:val="bottom"/>
          </w:tcPr>
          <w:p w14:paraId="67C87014" w14:textId="77777777" w:rsidR="00037EC2" w:rsidRPr="00037EC2" w:rsidRDefault="00037EC2" w:rsidP="00D81174">
            <w:pPr>
              <w:spacing w:line="240" w:lineRule="auto"/>
              <w:jc w:val="center"/>
              <w:rPr>
                <w:rFonts w:cs="Calibri"/>
                <w:sz w:val="18"/>
                <w:szCs w:val="18"/>
              </w:rPr>
            </w:pPr>
            <w:r w:rsidRPr="00037EC2">
              <w:rPr>
                <w:rFonts w:cs="Calibri"/>
                <w:sz w:val="18"/>
                <w:szCs w:val="18"/>
              </w:rPr>
              <w:t>3</w:t>
            </w:r>
          </w:p>
        </w:tc>
        <w:tc>
          <w:tcPr>
            <w:tcW w:w="1391" w:type="dxa"/>
            <w:shd w:val="clear" w:color="auto" w:fill="auto"/>
            <w:vAlign w:val="bottom"/>
          </w:tcPr>
          <w:p w14:paraId="0F80AD73" w14:textId="77777777" w:rsidR="00037EC2" w:rsidRPr="00037EC2" w:rsidRDefault="00037EC2" w:rsidP="00D81174">
            <w:pPr>
              <w:spacing w:line="240" w:lineRule="auto"/>
              <w:jc w:val="center"/>
              <w:rPr>
                <w:rFonts w:cs="Calibri"/>
                <w:sz w:val="18"/>
                <w:szCs w:val="18"/>
              </w:rPr>
            </w:pPr>
            <w:r w:rsidRPr="00037EC2">
              <w:rPr>
                <w:rFonts w:cs="Calibri"/>
                <w:sz w:val="18"/>
                <w:szCs w:val="18"/>
              </w:rPr>
              <w:t>9.6%</w:t>
            </w:r>
          </w:p>
        </w:tc>
      </w:tr>
      <w:tr w:rsidR="00037EC2" w:rsidRPr="00037EC2" w14:paraId="0C1D66CC" w14:textId="77777777" w:rsidTr="00D81174">
        <w:tc>
          <w:tcPr>
            <w:tcW w:w="5812" w:type="dxa"/>
            <w:shd w:val="clear" w:color="auto" w:fill="auto"/>
            <w:vAlign w:val="bottom"/>
          </w:tcPr>
          <w:p w14:paraId="2484BF0C" w14:textId="77777777" w:rsidR="00037EC2" w:rsidRPr="00037EC2" w:rsidRDefault="00037EC2" w:rsidP="00D81174">
            <w:pPr>
              <w:spacing w:line="240" w:lineRule="auto"/>
              <w:rPr>
                <w:rFonts w:cs="Calibri"/>
                <w:sz w:val="18"/>
                <w:szCs w:val="18"/>
              </w:rPr>
            </w:pPr>
            <w:r w:rsidRPr="00037EC2">
              <w:rPr>
                <w:rFonts w:cs="Calibri"/>
                <w:sz w:val="18"/>
                <w:szCs w:val="18"/>
              </w:rPr>
              <w:t>Near real-time production control system</w:t>
            </w:r>
          </w:p>
        </w:tc>
        <w:tc>
          <w:tcPr>
            <w:tcW w:w="1134" w:type="dxa"/>
            <w:shd w:val="clear" w:color="auto" w:fill="auto"/>
            <w:vAlign w:val="bottom"/>
          </w:tcPr>
          <w:p w14:paraId="13A1F379" w14:textId="77777777" w:rsidR="00037EC2" w:rsidRPr="00037EC2" w:rsidRDefault="00037EC2" w:rsidP="00D81174">
            <w:pPr>
              <w:spacing w:line="240" w:lineRule="auto"/>
              <w:jc w:val="center"/>
              <w:rPr>
                <w:rFonts w:cs="Calibri"/>
                <w:sz w:val="18"/>
                <w:szCs w:val="18"/>
              </w:rPr>
            </w:pPr>
            <w:r w:rsidRPr="00037EC2">
              <w:rPr>
                <w:rFonts w:cs="Calibri"/>
                <w:sz w:val="18"/>
                <w:szCs w:val="18"/>
              </w:rPr>
              <w:t>26.4%</w:t>
            </w:r>
          </w:p>
        </w:tc>
        <w:tc>
          <w:tcPr>
            <w:tcW w:w="735" w:type="dxa"/>
            <w:shd w:val="clear" w:color="auto" w:fill="auto"/>
            <w:vAlign w:val="bottom"/>
          </w:tcPr>
          <w:p w14:paraId="470620B4" w14:textId="77777777" w:rsidR="00037EC2" w:rsidRPr="00037EC2" w:rsidRDefault="00037EC2" w:rsidP="00D81174">
            <w:pPr>
              <w:spacing w:line="240" w:lineRule="auto"/>
              <w:jc w:val="center"/>
              <w:rPr>
                <w:rFonts w:cs="Calibri"/>
                <w:sz w:val="18"/>
                <w:szCs w:val="18"/>
              </w:rPr>
            </w:pPr>
            <w:r w:rsidRPr="00037EC2">
              <w:rPr>
                <w:rFonts w:cs="Calibri"/>
                <w:sz w:val="18"/>
                <w:szCs w:val="18"/>
              </w:rPr>
              <w:t>1</w:t>
            </w:r>
          </w:p>
        </w:tc>
        <w:tc>
          <w:tcPr>
            <w:tcW w:w="1391" w:type="dxa"/>
            <w:shd w:val="clear" w:color="auto" w:fill="auto"/>
            <w:vAlign w:val="bottom"/>
          </w:tcPr>
          <w:p w14:paraId="512178A0" w14:textId="77777777" w:rsidR="00037EC2" w:rsidRPr="00037EC2" w:rsidRDefault="00037EC2" w:rsidP="00D81174">
            <w:pPr>
              <w:spacing w:line="240" w:lineRule="auto"/>
              <w:jc w:val="center"/>
              <w:rPr>
                <w:rFonts w:cs="Calibri"/>
                <w:sz w:val="18"/>
                <w:szCs w:val="18"/>
              </w:rPr>
            </w:pPr>
            <w:r w:rsidRPr="00037EC2">
              <w:rPr>
                <w:rFonts w:cs="Calibri"/>
                <w:sz w:val="18"/>
                <w:szCs w:val="18"/>
              </w:rPr>
              <w:t>16.1%</w:t>
            </w:r>
          </w:p>
        </w:tc>
      </w:tr>
      <w:tr w:rsidR="00037EC2" w:rsidRPr="00037EC2" w14:paraId="45344421" w14:textId="77777777" w:rsidTr="00D81174">
        <w:tc>
          <w:tcPr>
            <w:tcW w:w="5812" w:type="dxa"/>
            <w:tcBorders>
              <w:bottom w:val="single" w:sz="4" w:space="0" w:color="auto"/>
            </w:tcBorders>
            <w:shd w:val="clear" w:color="auto" w:fill="auto"/>
            <w:vAlign w:val="bottom"/>
          </w:tcPr>
          <w:p w14:paraId="5EFD5D53" w14:textId="77777777" w:rsidR="00037EC2" w:rsidRPr="00037EC2" w:rsidRDefault="00037EC2" w:rsidP="00D81174">
            <w:pPr>
              <w:spacing w:line="240" w:lineRule="auto"/>
              <w:rPr>
                <w:rFonts w:cs="Calibri"/>
                <w:sz w:val="18"/>
                <w:szCs w:val="18"/>
              </w:rPr>
            </w:pPr>
            <w:r w:rsidRPr="00037EC2">
              <w:rPr>
                <w:rFonts w:cs="Calibri"/>
                <w:sz w:val="18"/>
                <w:szCs w:val="18"/>
              </w:rPr>
              <w:t>Software for production planning and scheduling</w:t>
            </w:r>
          </w:p>
        </w:tc>
        <w:tc>
          <w:tcPr>
            <w:tcW w:w="1134" w:type="dxa"/>
            <w:tcBorders>
              <w:bottom w:val="single" w:sz="4" w:space="0" w:color="auto"/>
            </w:tcBorders>
            <w:shd w:val="clear" w:color="auto" w:fill="auto"/>
            <w:vAlign w:val="bottom"/>
          </w:tcPr>
          <w:p w14:paraId="38F2225A" w14:textId="77777777" w:rsidR="00037EC2" w:rsidRPr="00037EC2" w:rsidRDefault="00037EC2" w:rsidP="00D81174">
            <w:pPr>
              <w:spacing w:line="240" w:lineRule="auto"/>
              <w:jc w:val="center"/>
              <w:rPr>
                <w:rFonts w:cs="Calibri"/>
                <w:sz w:val="18"/>
                <w:szCs w:val="18"/>
              </w:rPr>
            </w:pPr>
            <w:r w:rsidRPr="00037EC2">
              <w:rPr>
                <w:rFonts w:cs="Calibri"/>
                <w:sz w:val="18"/>
                <w:szCs w:val="18"/>
              </w:rPr>
              <w:t>21.8%</w:t>
            </w:r>
          </w:p>
        </w:tc>
        <w:tc>
          <w:tcPr>
            <w:tcW w:w="735" w:type="dxa"/>
            <w:tcBorders>
              <w:bottom w:val="single" w:sz="4" w:space="0" w:color="auto"/>
            </w:tcBorders>
            <w:shd w:val="clear" w:color="auto" w:fill="auto"/>
            <w:vAlign w:val="bottom"/>
          </w:tcPr>
          <w:p w14:paraId="3C1CB16F" w14:textId="77777777" w:rsidR="00037EC2" w:rsidRPr="00037EC2" w:rsidRDefault="00037EC2" w:rsidP="00D81174">
            <w:pPr>
              <w:spacing w:line="240" w:lineRule="auto"/>
              <w:jc w:val="center"/>
              <w:rPr>
                <w:rFonts w:cs="Calibri"/>
                <w:sz w:val="18"/>
                <w:szCs w:val="18"/>
              </w:rPr>
            </w:pPr>
            <w:r w:rsidRPr="00037EC2">
              <w:rPr>
                <w:rFonts w:cs="Calibri"/>
                <w:sz w:val="18"/>
                <w:szCs w:val="18"/>
              </w:rPr>
              <w:t>2</w:t>
            </w:r>
          </w:p>
        </w:tc>
        <w:tc>
          <w:tcPr>
            <w:tcW w:w="1391" w:type="dxa"/>
            <w:tcBorders>
              <w:bottom w:val="single" w:sz="4" w:space="0" w:color="auto"/>
            </w:tcBorders>
            <w:shd w:val="clear" w:color="auto" w:fill="auto"/>
            <w:vAlign w:val="bottom"/>
          </w:tcPr>
          <w:p w14:paraId="33CFC7E4" w14:textId="77777777" w:rsidR="00037EC2" w:rsidRPr="00037EC2" w:rsidRDefault="00037EC2" w:rsidP="00D81174">
            <w:pPr>
              <w:spacing w:line="240" w:lineRule="auto"/>
              <w:jc w:val="center"/>
              <w:rPr>
                <w:rFonts w:cs="Calibri"/>
                <w:sz w:val="18"/>
                <w:szCs w:val="18"/>
              </w:rPr>
            </w:pPr>
            <w:r w:rsidRPr="00037EC2">
              <w:rPr>
                <w:rFonts w:cs="Calibri"/>
                <w:sz w:val="18"/>
                <w:szCs w:val="18"/>
              </w:rPr>
              <w:t>11.4%</w:t>
            </w:r>
          </w:p>
        </w:tc>
      </w:tr>
    </w:tbl>
    <w:p w14:paraId="6D69452E" w14:textId="77777777" w:rsidR="00304017" w:rsidRPr="00304017" w:rsidRDefault="00304017" w:rsidP="00304017">
      <w:pPr>
        <w:spacing w:line="240" w:lineRule="auto"/>
        <w:ind w:left="274"/>
        <w:rPr>
          <w:sz w:val="22"/>
          <w:szCs w:val="22"/>
          <w:lang w:eastAsia="en-US"/>
        </w:rPr>
      </w:pPr>
    </w:p>
    <w:p w14:paraId="0131D0A1" w14:textId="77777777" w:rsidR="00AE61D9" w:rsidRPr="00AE61D9" w:rsidRDefault="00304017" w:rsidP="00AE61D9">
      <w:pPr>
        <w:pStyle w:val="Heading1"/>
      </w:pPr>
      <w:r w:rsidRPr="00AE61D9">
        <w:t>Acknowledgements</w:t>
      </w:r>
      <w:bookmarkStart w:id="3" w:name="_Hlk13967245"/>
    </w:p>
    <w:p w14:paraId="7C3AE4BF" w14:textId="2540D157" w:rsidR="00E96E30" w:rsidRPr="00E96E30" w:rsidRDefault="00AE61D9" w:rsidP="00E96E30">
      <w:pPr>
        <w:pStyle w:val="Acknowledgements"/>
        <w:spacing w:line="240" w:lineRule="auto"/>
        <w:rPr>
          <w:sz w:val="24"/>
          <w:szCs w:val="28"/>
        </w:rPr>
      </w:pPr>
      <w:r>
        <w:rPr>
          <w:sz w:val="24"/>
          <w:szCs w:val="28"/>
        </w:rPr>
        <w:t>A</w:t>
      </w:r>
      <w:r w:rsidR="00304017" w:rsidRPr="00E51BD6">
        <w:rPr>
          <w:sz w:val="24"/>
          <w:szCs w:val="28"/>
        </w:rPr>
        <w:t xml:space="preserve">voiding identifying any of the authors prior to peer review. </w:t>
      </w:r>
      <w:bookmarkEnd w:id="3"/>
      <w:r w:rsidR="00304017" w:rsidRPr="00E51BD6">
        <w:rPr>
          <w:sz w:val="24"/>
          <w:szCs w:val="28"/>
        </w:rPr>
        <w:t xml:space="preserve">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w:t>
      </w:r>
      <w:proofErr w:type="gramStart"/>
      <w:r w:rsidR="00304017" w:rsidRPr="00E51BD6">
        <w:rPr>
          <w:sz w:val="24"/>
          <w:szCs w:val="28"/>
        </w:rPr>
        <w:t>proof reading</w:t>
      </w:r>
      <w:proofErr w:type="gramEnd"/>
      <w:r w:rsidR="00304017" w:rsidRPr="00E51BD6">
        <w:rPr>
          <w:sz w:val="24"/>
          <w:szCs w:val="28"/>
        </w:rPr>
        <w:t xml:space="preserve"> the article, etc.).</w:t>
      </w:r>
    </w:p>
    <w:p w14:paraId="4F88EF36" w14:textId="534DDBD5" w:rsidR="00E96E30" w:rsidRDefault="00E96E30" w:rsidP="00E96E30">
      <w:pPr>
        <w:pStyle w:val="Heading1"/>
      </w:pPr>
      <w:r>
        <w:t xml:space="preserve">Funding </w:t>
      </w:r>
    </w:p>
    <w:p w14:paraId="000EB607" w14:textId="60355174" w:rsidR="00E96E30" w:rsidRDefault="00E96E30" w:rsidP="00E96E30">
      <w:pPr>
        <w:spacing w:line="240" w:lineRule="auto"/>
      </w:pPr>
      <w:r>
        <w:t>List funding sources in this standard way to facilitate compliance to funder's requirements</w:t>
      </w:r>
      <w:r w:rsidR="0065587A">
        <w:t xml:space="preserve">. </w:t>
      </w:r>
      <w:bookmarkStart w:id="4" w:name="_Hlk13969087"/>
      <w:r w:rsidR="0065587A">
        <w:t>Example:</w:t>
      </w:r>
      <w:r>
        <w:t xml:space="preserve"> </w:t>
      </w:r>
      <w:bookmarkEnd w:id="4"/>
      <w:r>
        <w:t xml:space="preserve">This work was supported by the European Commission under the Horizon 2020 Marie </w:t>
      </w:r>
      <w:proofErr w:type="spellStart"/>
      <w:r>
        <w:t>Skłodowska</w:t>
      </w:r>
      <w:proofErr w:type="spellEnd"/>
      <w:r>
        <w:t xml:space="preserve">-Curie Actions project “MAKERS: Smart Manufacturing for EU Growth and Prosperity” [grant agreement number </w:t>
      </w:r>
      <w:proofErr w:type="spellStart"/>
      <w:r>
        <w:t>xxxx</w:t>
      </w:r>
      <w:proofErr w:type="spellEnd"/>
      <w:r>
        <w:t xml:space="preserve">, </w:t>
      </w:r>
      <w:proofErr w:type="spellStart"/>
      <w:r>
        <w:t>yyyy</w:t>
      </w:r>
      <w:proofErr w:type="spellEnd"/>
      <w:r>
        <w:t>].</w:t>
      </w:r>
    </w:p>
    <w:p w14:paraId="192F5CC4" w14:textId="77777777" w:rsidR="00E96E30" w:rsidRDefault="00E96E30" w:rsidP="00E96E30">
      <w:pPr>
        <w:pStyle w:val="Newparagraph"/>
        <w:spacing w:line="240" w:lineRule="auto"/>
      </w:pPr>
      <w:r>
        <w:t xml:space="preserve">It is not necessary to include detailed descriptions on the program or type of grants and awards. When funding is from a block grant or other resources available to a </w:t>
      </w:r>
      <w:r>
        <w:lastRenderedPageBreak/>
        <w:t>university, college, or other research institution, submit the name of the institute or organization that provided the funding.</w:t>
      </w:r>
    </w:p>
    <w:p w14:paraId="44765BBF" w14:textId="0E84D6C1" w:rsidR="00E96E30" w:rsidRPr="00E96E30" w:rsidRDefault="00E96E30" w:rsidP="00E96E30">
      <w:pPr>
        <w:pStyle w:val="Newparagraph"/>
        <w:spacing w:line="240" w:lineRule="auto"/>
      </w:pPr>
      <w:r>
        <w:t>If no funding has been provided for the research, please include the following sentence: This research did not receive any specific grant from funding agencies in the public, commercial, or not-for-profit sectors.</w:t>
      </w:r>
    </w:p>
    <w:p w14:paraId="74893C89" w14:textId="10409D2F" w:rsidR="00AE61D9" w:rsidRDefault="00161344" w:rsidP="00AE61D9">
      <w:pPr>
        <w:pStyle w:val="Heading1"/>
      </w:pPr>
      <w:r w:rsidRPr="00AE61D9">
        <w:t>References</w:t>
      </w:r>
    </w:p>
    <w:p w14:paraId="7BAA26B3" w14:textId="01239B13" w:rsidR="00AE61D9" w:rsidRDefault="00AE61D9" w:rsidP="00AE61D9">
      <w:pPr>
        <w:pStyle w:val="Acknowledgements"/>
        <w:spacing w:line="240" w:lineRule="auto"/>
        <w:rPr>
          <w:sz w:val="24"/>
        </w:rPr>
      </w:pPr>
      <w:r>
        <w:rPr>
          <w:sz w:val="24"/>
        </w:rPr>
        <w:t>A</w:t>
      </w:r>
      <w:r w:rsidRPr="00AE61D9">
        <w:rPr>
          <w:sz w:val="24"/>
        </w:rPr>
        <w:t xml:space="preserve"> reference section must be included. Please use this </w:t>
      </w:r>
      <w:hyperlink r:id="rId9" w:history="1">
        <w:r w:rsidRPr="00AE61D9">
          <w:rPr>
            <w:rStyle w:val="Hyperlink"/>
            <w:sz w:val="24"/>
          </w:rPr>
          <w:t>IEEE reference guide</w:t>
        </w:r>
      </w:hyperlink>
      <w:r w:rsidRPr="00AE61D9">
        <w:rPr>
          <w:sz w:val="24"/>
        </w:rPr>
        <w:t xml:space="preserve"> when preparing your paper.</w:t>
      </w:r>
      <w:r>
        <w:rPr>
          <w:sz w:val="24"/>
        </w:rPr>
        <w:t xml:space="preserve"> </w:t>
      </w:r>
      <w:r w:rsidRPr="00AE61D9">
        <w:rPr>
          <w:sz w:val="24"/>
          <w:szCs w:val="28"/>
        </w:rPr>
        <w:t>Please note that authors are responsible for the accuracy and completeness of their references. All reference entries must be prepared exactly according to this instruction otherwise the paper will be returned to the authors without review. References must be numbered and ordered according to where they are first mentioned in the paper, not alphabetically.</w:t>
      </w:r>
    </w:p>
    <w:p w14:paraId="47428B5F" w14:textId="11FB95AF" w:rsidR="00AE61D9" w:rsidRPr="00AE61D9" w:rsidRDefault="00AE61D9" w:rsidP="00AE61D9">
      <w:pPr>
        <w:pStyle w:val="Newparagraph"/>
        <w:spacing w:line="240" w:lineRule="auto"/>
      </w:pPr>
      <w:r w:rsidRPr="00AE61D9">
        <w:t>Reference</w:t>
      </w:r>
      <w:r w:rsidRPr="00AE61D9">
        <w:rPr>
          <w:szCs w:val="28"/>
        </w:rPr>
        <w:t xml:space="preserv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Use commas around Jr., Sr., and III in names. All references, except those ending with URLs, will end with a period, including those with a DOI. However, if a reference contains both a DOI or accessed date, as well as a URL, place the DOI after the URL and end with a period. For any reference that cites two months for the same issue, the two months should be separated by a slash (e.g., Jul./Aug.), followed by the year of publication. References may not include all information; please obtain and include relevant information. Do not combine references. There must be only one reference with each number. If there is a URL included with the print reference, it can be included at the end of the reference. Examples follow.</w:t>
      </w:r>
    </w:p>
    <w:p w14:paraId="4F2E3EA7" w14:textId="77777777" w:rsidR="008842AF" w:rsidRPr="008842AF" w:rsidRDefault="008842AF" w:rsidP="008842AF">
      <w:pPr>
        <w:spacing w:before="240"/>
        <w:jc w:val="both"/>
        <w:rPr>
          <w:b/>
          <w:bCs/>
        </w:rPr>
      </w:pPr>
      <w:r w:rsidRPr="008842AF">
        <w:rPr>
          <w:b/>
          <w:bCs/>
        </w:rPr>
        <w:t>Journal Papers</w:t>
      </w:r>
    </w:p>
    <w:p w14:paraId="3C26610A" w14:textId="77777777" w:rsidR="008842AF" w:rsidRPr="008842AF" w:rsidRDefault="008842AF" w:rsidP="008842AF">
      <w:pPr>
        <w:spacing w:line="240" w:lineRule="auto"/>
        <w:jc w:val="both"/>
      </w:pPr>
      <w:r w:rsidRPr="008842AF">
        <w:t>Format:</w:t>
      </w:r>
    </w:p>
    <w:p w14:paraId="27658457" w14:textId="77777777" w:rsidR="008842AF" w:rsidRPr="008842AF" w:rsidRDefault="008842AF" w:rsidP="008842AF">
      <w:pPr>
        <w:spacing w:line="240" w:lineRule="auto"/>
        <w:jc w:val="both"/>
      </w:pPr>
      <w:r w:rsidRPr="008842AF">
        <w:t xml:space="preserve">J. K. Author, “Name of paper,” Abbrev. </w:t>
      </w:r>
      <w:r w:rsidRPr="008842AF">
        <w:rPr>
          <w:i/>
          <w:iCs/>
        </w:rPr>
        <w:t>Title of Journal</w:t>
      </w:r>
      <w:r w:rsidRPr="008842AF">
        <w:t xml:space="preserve">, vol. x, no. x, pp. xxx–xxx, Abbrev. month, year, </w:t>
      </w:r>
      <w:proofErr w:type="spellStart"/>
      <w:r w:rsidRPr="008842AF">
        <w:t>doi</w:t>
      </w:r>
      <w:proofErr w:type="spellEnd"/>
      <w:r w:rsidRPr="008842AF">
        <w:t>: xxx.</w:t>
      </w:r>
    </w:p>
    <w:p w14:paraId="686CA7C2" w14:textId="77777777" w:rsidR="008842AF" w:rsidRPr="008842AF" w:rsidRDefault="008842AF" w:rsidP="008842AF">
      <w:pPr>
        <w:spacing w:line="240" w:lineRule="auto"/>
        <w:jc w:val="both"/>
      </w:pPr>
    </w:p>
    <w:p w14:paraId="7C92D0EC" w14:textId="5DFDB098" w:rsidR="008842AF" w:rsidRPr="008842AF" w:rsidRDefault="008842AF" w:rsidP="008842AF">
      <w:pPr>
        <w:spacing w:line="240" w:lineRule="auto"/>
        <w:jc w:val="both"/>
      </w:pPr>
      <w:r w:rsidRPr="008842AF">
        <w:t>Example:</w:t>
      </w:r>
    </w:p>
    <w:p w14:paraId="2765ED57" w14:textId="77777777" w:rsidR="008842AF" w:rsidRPr="008842AF" w:rsidRDefault="008842AF" w:rsidP="008842AF">
      <w:pPr>
        <w:widowControl w:val="0"/>
        <w:autoSpaceDE w:val="0"/>
        <w:autoSpaceDN w:val="0"/>
        <w:adjustRightInd w:val="0"/>
        <w:spacing w:after="160" w:line="240" w:lineRule="auto"/>
        <w:ind w:left="640" w:hanging="640"/>
        <w:rPr>
          <w:noProof/>
        </w:rPr>
      </w:pPr>
      <w:r w:rsidRPr="008842AF">
        <w:rPr>
          <w:noProof/>
        </w:rPr>
        <w:t>[1]</w:t>
      </w:r>
      <w:r w:rsidRPr="008842AF">
        <w:rPr>
          <w:noProof/>
        </w:rPr>
        <w:tab/>
        <w:t xml:space="preserve">N. Suzić, E. Sandrin, S. Suzić, C. Forza, A. Trentin, and Z. Anišić, “Implementation guidelines for mass customization: A researcher-oriented view,” </w:t>
      </w:r>
      <w:r w:rsidRPr="008842AF">
        <w:rPr>
          <w:i/>
          <w:iCs/>
          <w:noProof/>
        </w:rPr>
        <w:t>Int. J. Ind. Eng. Manag.</w:t>
      </w:r>
      <w:r w:rsidRPr="008842AF">
        <w:rPr>
          <w:noProof/>
        </w:rPr>
        <w:t>, vol. 9, no. 4, pp. 229–243, Dec. 2018, doi: 10.24867/IJIEM-2018-4-229.</w:t>
      </w:r>
    </w:p>
    <w:p w14:paraId="0C4EE2F9" w14:textId="77777777" w:rsidR="008842AF" w:rsidRPr="008842AF" w:rsidRDefault="008842AF" w:rsidP="008842AF">
      <w:pPr>
        <w:spacing w:before="240"/>
        <w:jc w:val="both"/>
        <w:rPr>
          <w:lang w:val="en-US"/>
        </w:rPr>
      </w:pPr>
      <w:r w:rsidRPr="008842AF">
        <w:rPr>
          <w:b/>
          <w:bCs/>
          <w:lang w:val="sr-Latn-RS"/>
        </w:rPr>
        <w:t>Books</w:t>
      </w:r>
    </w:p>
    <w:p w14:paraId="49661F0E" w14:textId="77777777" w:rsidR="008842AF" w:rsidRPr="008842AF" w:rsidRDefault="008842AF" w:rsidP="008842AF">
      <w:pPr>
        <w:spacing w:line="240" w:lineRule="auto"/>
        <w:jc w:val="both"/>
      </w:pPr>
      <w:r w:rsidRPr="008842AF">
        <w:t>Format:</w:t>
      </w:r>
    </w:p>
    <w:p w14:paraId="6DC2498E" w14:textId="77777777" w:rsidR="008842AF" w:rsidRPr="008842AF" w:rsidRDefault="008842AF" w:rsidP="008842AF">
      <w:pPr>
        <w:spacing w:line="240" w:lineRule="auto"/>
        <w:jc w:val="both"/>
      </w:pPr>
      <w:r w:rsidRPr="008842AF">
        <w:t xml:space="preserve">J. K. Author, Title of the book. City of Publisher, (only U.S. State), Country: Abbrev. of Publisher, year, </w:t>
      </w:r>
      <w:proofErr w:type="spellStart"/>
      <w:r w:rsidRPr="008842AF">
        <w:t>doi</w:t>
      </w:r>
      <w:proofErr w:type="spellEnd"/>
      <w:r w:rsidRPr="008842AF">
        <w:t>: xxx.</w:t>
      </w:r>
    </w:p>
    <w:p w14:paraId="518CB4E3" w14:textId="77777777" w:rsidR="008842AF" w:rsidRPr="008842AF" w:rsidRDefault="008842AF" w:rsidP="008842AF">
      <w:pPr>
        <w:spacing w:before="240" w:line="240" w:lineRule="auto"/>
        <w:jc w:val="both"/>
      </w:pPr>
      <w:r w:rsidRPr="008842AF">
        <w:t>Example:</w:t>
      </w:r>
    </w:p>
    <w:p w14:paraId="1E043C50" w14:textId="77777777" w:rsidR="008842AF" w:rsidRPr="008842AF" w:rsidRDefault="008842AF" w:rsidP="008842AF">
      <w:pPr>
        <w:widowControl w:val="0"/>
        <w:autoSpaceDE w:val="0"/>
        <w:autoSpaceDN w:val="0"/>
        <w:adjustRightInd w:val="0"/>
        <w:spacing w:line="240" w:lineRule="auto"/>
        <w:ind w:left="640" w:hanging="640"/>
        <w:rPr>
          <w:noProof/>
        </w:rPr>
      </w:pPr>
      <w:r w:rsidRPr="008842AF">
        <w:rPr>
          <w:noProof/>
        </w:rPr>
        <w:t>[2]</w:t>
      </w:r>
      <w:r w:rsidRPr="008842AF">
        <w:rPr>
          <w:noProof/>
        </w:rPr>
        <w:tab/>
        <w:t xml:space="preserve">I. Gibson, D. W. Rosen, and B. Stucker, </w:t>
      </w:r>
      <w:r w:rsidRPr="008842AF">
        <w:rPr>
          <w:i/>
          <w:iCs/>
          <w:noProof/>
        </w:rPr>
        <w:t>Additive Manufacturing Technologies</w:t>
      </w:r>
      <w:r w:rsidRPr="008842AF">
        <w:rPr>
          <w:noProof/>
        </w:rPr>
        <w:t>. New York, NY, USA: Springer, 2010, doi: 10.1007/978-1-4419-1120-9.</w:t>
      </w:r>
    </w:p>
    <w:p w14:paraId="238A865B" w14:textId="77777777" w:rsidR="008842AF" w:rsidRPr="008842AF" w:rsidRDefault="008842AF" w:rsidP="00101997">
      <w:pPr>
        <w:spacing w:before="240"/>
        <w:jc w:val="both"/>
        <w:rPr>
          <w:b/>
          <w:bCs/>
        </w:rPr>
      </w:pPr>
      <w:r w:rsidRPr="00101997">
        <w:rPr>
          <w:b/>
          <w:bCs/>
          <w:lang w:val="sr-Latn-RS"/>
        </w:rPr>
        <w:t>Book</w:t>
      </w:r>
      <w:r w:rsidRPr="008842AF">
        <w:rPr>
          <w:b/>
          <w:bCs/>
        </w:rPr>
        <w:t xml:space="preserve"> With Chapter Title</w:t>
      </w:r>
    </w:p>
    <w:p w14:paraId="14511ADE" w14:textId="77777777" w:rsidR="008842AF" w:rsidRPr="008842AF" w:rsidRDefault="008842AF" w:rsidP="008842AF">
      <w:pPr>
        <w:widowControl w:val="0"/>
        <w:autoSpaceDE w:val="0"/>
        <w:autoSpaceDN w:val="0"/>
        <w:adjustRightInd w:val="0"/>
        <w:spacing w:line="240" w:lineRule="auto"/>
        <w:ind w:left="640" w:hanging="640"/>
        <w:rPr>
          <w:noProof/>
        </w:rPr>
      </w:pPr>
      <w:r w:rsidRPr="008842AF">
        <w:rPr>
          <w:noProof/>
        </w:rPr>
        <w:lastRenderedPageBreak/>
        <w:t>Format:</w:t>
      </w:r>
    </w:p>
    <w:p w14:paraId="068066E8" w14:textId="77777777" w:rsidR="008842AF" w:rsidRPr="008842AF" w:rsidRDefault="008842AF" w:rsidP="008842AF">
      <w:pPr>
        <w:spacing w:line="259" w:lineRule="auto"/>
        <w:jc w:val="both"/>
        <w:rPr>
          <w:noProof/>
        </w:rPr>
      </w:pPr>
      <w:r w:rsidRPr="008842AF">
        <w:rPr>
          <w:noProof/>
        </w:rPr>
        <w:t xml:space="preserve">J. K. Author, “Title of chapter in the book,” in Title of Published Book, X. Editor, Ed., City of Publisher, </w:t>
      </w:r>
      <w:r w:rsidRPr="008842AF">
        <w:rPr>
          <w:lang w:val="en-US"/>
        </w:rPr>
        <w:t>State</w:t>
      </w:r>
      <w:r w:rsidRPr="008842AF">
        <w:rPr>
          <w:noProof/>
        </w:rPr>
        <w:t xml:space="preserve"> (only U.S.), Country: Abbrev. of Publisher, year, ch. x, sec. x, pp. xxx–xxx, doi: xxx.</w:t>
      </w:r>
    </w:p>
    <w:p w14:paraId="06F884DD" w14:textId="77777777" w:rsidR="008842AF" w:rsidRPr="008842AF" w:rsidRDefault="008842AF" w:rsidP="00101997">
      <w:pPr>
        <w:spacing w:before="240" w:line="240" w:lineRule="auto"/>
        <w:jc w:val="both"/>
        <w:rPr>
          <w:noProof/>
        </w:rPr>
      </w:pPr>
      <w:r w:rsidRPr="008842AF">
        <w:t>Example</w:t>
      </w:r>
      <w:r w:rsidRPr="008842AF">
        <w:rPr>
          <w:noProof/>
        </w:rPr>
        <w:t>:</w:t>
      </w:r>
    </w:p>
    <w:p w14:paraId="070DB6B4" w14:textId="77777777" w:rsidR="008842AF" w:rsidRPr="008842AF" w:rsidRDefault="008842AF" w:rsidP="008842AF">
      <w:pPr>
        <w:widowControl w:val="0"/>
        <w:autoSpaceDE w:val="0"/>
        <w:autoSpaceDN w:val="0"/>
        <w:adjustRightInd w:val="0"/>
        <w:spacing w:line="240" w:lineRule="auto"/>
        <w:ind w:left="640" w:hanging="640"/>
        <w:rPr>
          <w:noProof/>
        </w:rPr>
      </w:pPr>
      <w:r w:rsidRPr="008842AF">
        <w:rPr>
          <w:noProof/>
        </w:rPr>
        <w:t>[3]</w:t>
      </w:r>
      <w:r w:rsidRPr="008842AF">
        <w:rPr>
          <w:noProof/>
        </w:rPr>
        <w:tab/>
        <w:t xml:space="preserve">B. Lalic and U. Marjanovic, “Organizational readiness/preparedness,” in </w:t>
      </w:r>
      <w:r w:rsidRPr="008842AF">
        <w:rPr>
          <w:i/>
          <w:iCs/>
          <w:noProof/>
        </w:rPr>
        <w:t>E-Business Issues, Challenges and Opportunities for SMEs: Driving Competitiveness</w:t>
      </w:r>
      <w:r w:rsidRPr="008842AF">
        <w:rPr>
          <w:noProof/>
        </w:rPr>
        <w:t>, M. M. Cruz-Cunha and J. Varajão, Eds. New York, NY, USA: IGI Global, 2010, pp. 101–116, doi: 10.4018/978-1-61692-880-3.ch007</w:t>
      </w:r>
    </w:p>
    <w:p w14:paraId="3426D582" w14:textId="77777777" w:rsidR="008842AF" w:rsidRPr="008842AF" w:rsidRDefault="008842AF" w:rsidP="00101997">
      <w:pPr>
        <w:spacing w:before="240"/>
        <w:jc w:val="both"/>
        <w:rPr>
          <w:b/>
          <w:bCs/>
        </w:rPr>
      </w:pPr>
      <w:r w:rsidRPr="00101997">
        <w:rPr>
          <w:b/>
          <w:bCs/>
          <w:lang w:val="sr-Latn-RS"/>
        </w:rPr>
        <w:t>Proceedings</w:t>
      </w:r>
      <w:r w:rsidRPr="008842AF">
        <w:rPr>
          <w:b/>
          <w:bCs/>
        </w:rPr>
        <w:t xml:space="preserve"> Papers</w:t>
      </w:r>
    </w:p>
    <w:p w14:paraId="50D9A5F5" w14:textId="77777777" w:rsidR="008842AF" w:rsidRPr="008842AF" w:rsidRDefault="008842AF" w:rsidP="008842AF">
      <w:pPr>
        <w:spacing w:line="259" w:lineRule="auto"/>
        <w:jc w:val="both"/>
        <w:rPr>
          <w:noProof/>
        </w:rPr>
      </w:pPr>
      <w:r w:rsidRPr="008842AF">
        <w:rPr>
          <w:noProof/>
        </w:rPr>
        <w:t>Format:</w:t>
      </w:r>
    </w:p>
    <w:p w14:paraId="48C077A7" w14:textId="77777777" w:rsidR="008842AF" w:rsidRPr="008842AF" w:rsidRDefault="008842AF" w:rsidP="008842AF">
      <w:pPr>
        <w:spacing w:after="160" w:line="259" w:lineRule="auto"/>
        <w:jc w:val="both"/>
        <w:rPr>
          <w:noProof/>
        </w:rPr>
      </w:pPr>
      <w:r w:rsidRPr="008842AF">
        <w:rPr>
          <w:noProof/>
        </w:rPr>
        <w:t>J. K. Author, “Title of paper,” in Abbreviated Name of Conf., (location of conference is optional), year, pp. xxx–xxx, doi: xxx.</w:t>
      </w:r>
    </w:p>
    <w:p w14:paraId="1ABB1EBB" w14:textId="77777777" w:rsidR="008842AF" w:rsidRPr="008842AF" w:rsidRDefault="008842AF" w:rsidP="008842AF">
      <w:pPr>
        <w:widowControl w:val="0"/>
        <w:autoSpaceDE w:val="0"/>
        <w:autoSpaceDN w:val="0"/>
        <w:adjustRightInd w:val="0"/>
        <w:spacing w:before="240" w:line="240" w:lineRule="auto"/>
        <w:ind w:left="640" w:hanging="640"/>
        <w:rPr>
          <w:noProof/>
        </w:rPr>
      </w:pPr>
      <w:r w:rsidRPr="008842AF">
        <w:rPr>
          <w:noProof/>
        </w:rPr>
        <w:t>Example:</w:t>
      </w:r>
    </w:p>
    <w:p w14:paraId="1796B657" w14:textId="77777777" w:rsidR="008842AF" w:rsidRPr="008842AF" w:rsidRDefault="008842AF" w:rsidP="008842AF">
      <w:pPr>
        <w:widowControl w:val="0"/>
        <w:autoSpaceDE w:val="0"/>
        <w:autoSpaceDN w:val="0"/>
        <w:adjustRightInd w:val="0"/>
        <w:spacing w:after="160" w:line="240" w:lineRule="auto"/>
        <w:ind w:left="640" w:hanging="640"/>
        <w:rPr>
          <w:noProof/>
        </w:rPr>
      </w:pPr>
      <w:r w:rsidRPr="008842AF">
        <w:rPr>
          <w:noProof/>
        </w:rPr>
        <w:t>[4]</w:t>
      </w:r>
      <w:r w:rsidRPr="008842AF">
        <w:rPr>
          <w:noProof/>
        </w:rPr>
        <w:tab/>
        <w:t xml:space="preserve">N. Medic, U. Marjanovic, J. Prester, I. Palcic, and B. Lalic, “Evaluation of advanced digital technologies in manufacturing companies: Hybrid fuzzy MCDM approach,” in </w:t>
      </w:r>
      <w:r w:rsidRPr="008842AF">
        <w:rPr>
          <w:i/>
          <w:iCs/>
          <w:noProof/>
        </w:rPr>
        <w:t>25th International EurOMA Conference</w:t>
      </w:r>
      <w:r w:rsidRPr="008842AF">
        <w:rPr>
          <w:noProof/>
        </w:rPr>
        <w:t>, Budapest, Hungary, 2018, pp. 1–10.</w:t>
      </w:r>
    </w:p>
    <w:p w14:paraId="0BDDE93F" w14:textId="77777777" w:rsidR="008842AF" w:rsidRPr="008842AF" w:rsidRDefault="008842AF" w:rsidP="00101997">
      <w:pPr>
        <w:spacing w:before="240"/>
        <w:jc w:val="both"/>
        <w:rPr>
          <w:b/>
          <w:bCs/>
        </w:rPr>
      </w:pPr>
      <w:r w:rsidRPr="00101997">
        <w:rPr>
          <w:b/>
          <w:bCs/>
          <w:lang w:val="sr-Latn-RS"/>
        </w:rPr>
        <w:t>Websites</w:t>
      </w:r>
    </w:p>
    <w:p w14:paraId="5B49CDDB" w14:textId="77777777" w:rsidR="008842AF" w:rsidRPr="008842AF" w:rsidRDefault="008842AF" w:rsidP="008842AF">
      <w:pPr>
        <w:spacing w:line="259" w:lineRule="auto"/>
        <w:jc w:val="both"/>
        <w:rPr>
          <w:noProof/>
        </w:rPr>
      </w:pPr>
      <w:r w:rsidRPr="008842AF">
        <w:rPr>
          <w:noProof/>
        </w:rPr>
        <w:t>Format:</w:t>
      </w:r>
    </w:p>
    <w:p w14:paraId="396B3EB3" w14:textId="75FCC014" w:rsidR="008842AF" w:rsidRPr="008842AF" w:rsidRDefault="008842AF" w:rsidP="00101997">
      <w:pPr>
        <w:spacing w:line="259" w:lineRule="auto"/>
        <w:jc w:val="both"/>
        <w:rPr>
          <w:noProof/>
        </w:rPr>
      </w:pPr>
      <w:r w:rsidRPr="008842AF">
        <w:rPr>
          <w:noProof/>
        </w:rPr>
        <w:t>First Name Initial(s) Last Name. “Page Title.” Website Title. Web Address (retrieved</w:t>
      </w:r>
      <w:r w:rsidR="00101997">
        <w:rPr>
          <w:noProof/>
        </w:rPr>
        <w:t xml:space="preserve"> </w:t>
      </w:r>
      <w:r w:rsidRPr="008842AF">
        <w:rPr>
          <w:noProof/>
        </w:rPr>
        <w:t>Date Accessed).</w:t>
      </w:r>
    </w:p>
    <w:p w14:paraId="62512155" w14:textId="77777777" w:rsidR="008842AF" w:rsidRPr="008842AF" w:rsidRDefault="008842AF" w:rsidP="008842AF">
      <w:pPr>
        <w:widowControl w:val="0"/>
        <w:autoSpaceDE w:val="0"/>
        <w:autoSpaceDN w:val="0"/>
        <w:adjustRightInd w:val="0"/>
        <w:spacing w:before="240" w:line="240" w:lineRule="auto"/>
        <w:ind w:left="640" w:hanging="640"/>
        <w:rPr>
          <w:noProof/>
        </w:rPr>
      </w:pPr>
      <w:r w:rsidRPr="008842AF">
        <w:rPr>
          <w:noProof/>
        </w:rPr>
        <w:t>Example:</w:t>
      </w:r>
    </w:p>
    <w:p w14:paraId="5D789E95" w14:textId="77777777" w:rsidR="008842AF" w:rsidRPr="008842AF" w:rsidRDefault="008842AF" w:rsidP="008842AF">
      <w:pPr>
        <w:widowControl w:val="0"/>
        <w:autoSpaceDE w:val="0"/>
        <w:autoSpaceDN w:val="0"/>
        <w:adjustRightInd w:val="0"/>
        <w:spacing w:line="240" w:lineRule="auto"/>
        <w:ind w:left="640" w:hanging="640"/>
        <w:rPr>
          <w:noProof/>
        </w:rPr>
      </w:pPr>
      <w:r w:rsidRPr="008842AF">
        <w:rPr>
          <w:noProof/>
        </w:rPr>
        <w:t>[5]</w:t>
      </w:r>
      <w:r w:rsidRPr="008842AF">
        <w:rPr>
          <w:noProof/>
        </w:rPr>
        <w:tab/>
        <w:t>Fraunhofer Institute for Systems and Innovation Research ISI. “European Manufacturing Survey.” [Online]. Available: https://www.isi.fraunhofer.de/en/themen/industrielle-wettbewerbsfaehigkeit/fems.html#tabpanel-1. [Accessed: 14-Jul-2019].</w:t>
      </w:r>
    </w:p>
    <w:p w14:paraId="13266FCA" w14:textId="07D2CDCA" w:rsidR="00FE4713" w:rsidRPr="008842AF" w:rsidRDefault="00FE4713" w:rsidP="0080308E">
      <w:pPr>
        <w:pStyle w:val="Figurecaption"/>
      </w:pPr>
    </w:p>
    <w:sectPr w:rsidR="00FE4713" w:rsidRPr="008842AF" w:rsidSect="00410C9B">
      <w:headerReference w:type="default" r:id="rId10"/>
      <w:pgSz w:w="11901" w:h="16840" w:code="9"/>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532D" w14:textId="77777777" w:rsidR="0003419B" w:rsidRDefault="0003419B" w:rsidP="00AF2C92">
      <w:r>
        <w:separator/>
      </w:r>
    </w:p>
  </w:endnote>
  <w:endnote w:type="continuationSeparator" w:id="0">
    <w:p w14:paraId="52632501" w14:textId="77777777" w:rsidR="0003419B" w:rsidRDefault="0003419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6C1D" w14:textId="77777777" w:rsidR="0003419B" w:rsidRDefault="0003419B" w:rsidP="00AF2C92">
      <w:r>
        <w:separator/>
      </w:r>
    </w:p>
  </w:footnote>
  <w:footnote w:type="continuationSeparator" w:id="0">
    <w:p w14:paraId="5E06DDC2" w14:textId="77777777" w:rsidR="0003419B" w:rsidRDefault="0003419B"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3D3A" w14:textId="33CE969A" w:rsidR="00410C9B" w:rsidRPr="00417FE8" w:rsidRDefault="00410C9B">
    <w:pPr>
      <w:pStyle w:val="Header"/>
      <w:rPr>
        <w:sz w:val="22"/>
        <w:szCs w:val="22"/>
      </w:rPr>
    </w:pPr>
    <w:r w:rsidRPr="00417FE8">
      <w:rPr>
        <w:sz w:val="22"/>
        <w:szCs w:val="22"/>
      </w:rPr>
      <w:t xml:space="preserve">Page </w:t>
    </w:r>
    <w:sdt>
      <w:sdtPr>
        <w:rPr>
          <w:sz w:val="22"/>
          <w:szCs w:val="22"/>
        </w:rPr>
        <w:id w:val="-161857472"/>
        <w:docPartObj>
          <w:docPartGallery w:val="Page Numbers (Top of Page)"/>
          <w:docPartUnique/>
        </w:docPartObj>
      </w:sdtPr>
      <w:sdtEndPr>
        <w:rPr>
          <w:noProof/>
        </w:rPr>
      </w:sdtEndPr>
      <w:sdtContent>
        <w:r w:rsidRPr="00417FE8">
          <w:rPr>
            <w:sz w:val="22"/>
            <w:szCs w:val="22"/>
          </w:rPr>
          <w:fldChar w:fldCharType="begin"/>
        </w:r>
        <w:r w:rsidRPr="00417FE8">
          <w:rPr>
            <w:sz w:val="22"/>
            <w:szCs w:val="22"/>
          </w:rPr>
          <w:instrText xml:space="preserve"> PAGE   \* MERGEFORMAT </w:instrText>
        </w:r>
        <w:r w:rsidRPr="00417FE8">
          <w:rPr>
            <w:sz w:val="22"/>
            <w:szCs w:val="22"/>
          </w:rPr>
          <w:fldChar w:fldCharType="separate"/>
        </w:r>
        <w:r w:rsidRPr="00417FE8">
          <w:rPr>
            <w:noProof/>
            <w:sz w:val="22"/>
            <w:szCs w:val="22"/>
          </w:rPr>
          <w:t>2</w:t>
        </w:r>
        <w:r w:rsidRPr="00417FE8">
          <w:rPr>
            <w:noProof/>
            <w:sz w:val="22"/>
            <w:szCs w:val="22"/>
          </w:rPr>
          <w:fldChar w:fldCharType="end"/>
        </w:r>
        <w:r w:rsidRPr="00417FE8">
          <w:rPr>
            <w:noProof/>
            <w:sz w:val="22"/>
            <w:szCs w:val="22"/>
          </w:rPr>
          <w:t xml:space="preserve"> of </w:t>
        </w:r>
        <w:r w:rsidR="00827195" w:rsidRPr="00417FE8">
          <w:rPr>
            <w:noProof/>
            <w:sz w:val="22"/>
            <w:szCs w:val="22"/>
          </w:rPr>
          <w:fldChar w:fldCharType="begin"/>
        </w:r>
        <w:r w:rsidR="00827195" w:rsidRPr="00417FE8">
          <w:rPr>
            <w:noProof/>
            <w:sz w:val="22"/>
            <w:szCs w:val="22"/>
          </w:rPr>
          <w:instrText xml:space="preserve"> NUMPAGES   \* MERGEFORMAT </w:instrText>
        </w:r>
        <w:r w:rsidR="00827195" w:rsidRPr="00417FE8">
          <w:rPr>
            <w:noProof/>
            <w:sz w:val="22"/>
            <w:szCs w:val="22"/>
          </w:rPr>
          <w:fldChar w:fldCharType="separate"/>
        </w:r>
        <w:r w:rsidR="00827195" w:rsidRPr="00417FE8">
          <w:rPr>
            <w:noProof/>
            <w:sz w:val="22"/>
            <w:szCs w:val="22"/>
          </w:rPr>
          <w:t>5</w:t>
        </w:r>
        <w:r w:rsidR="00827195" w:rsidRPr="00417FE8">
          <w:rPr>
            <w:noProof/>
            <w:sz w:val="22"/>
            <w:szCs w:val="22"/>
          </w:rPr>
          <w:fldChar w:fldCharType="end"/>
        </w:r>
        <w:r w:rsidR="00827195" w:rsidRPr="00417FE8">
          <w:rPr>
            <w:noProof/>
            <w:sz w:val="22"/>
            <w:szCs w:val="22"/>
          </w:rPr>
          <w:tab/>
          <w:t>Int J Ind Eng Manag</w:t>
        </w:r>
      </w:sdtContent>
    </w:sdt>
  </w:p>
  <w:p w14:paraId="426642A7"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4203423">
    <w:abstractNumId w:val="15"/>
  </w:num>
  <w:num w:numId="2" w16cid:durableId="228730097">
    <w:abstractNumId w:val="19"/>
  </w:num>
  <w:num w:numId="3" w16cid:durableId="1696883077">
    <w:abstractNumId w:val="1"/>
  </w:num>
  <w:num w:numId="4" w16cid:durableId="1291133082">
    <w:abstractNumId w:val="2"/>
  </w:num>
  <w:num w:numId="5" w16cid:durableId="2072145365">
    <w:abstractNumId w:val="3"/>
  </w:num>
  <w:num w:numId="6" w16cid:durableId="515001158">
    <w:abstractNumId w:val="4"/>
  </w:num>
  <w:num w:numId="7" w16cid:durableId="533077453">
    <w:abstractNumId w:val="9"/>
  </w:num>
  <w:num w:numId="8" w16cid:durableId="1530678370">
    <w:abstractNumId w:val="5"/>
  </w:num>
  <w:num w:numId="9" w16cid:durableId="2090927827">
    <w:abstractNumId w:val="7"/>
  </w:num>
  <w:num w:numId="10" w16cid:durableId="777330858">
    <w:abstractNumId w:val="6"/>
  </w:num>
  <w:num w:numId="11" w16cid:durableId="74665607">
    <w:abstractNumId w:val="10"/>
  </w:num>
  <w:num w:numId="12" w16cid:durableId="26031146">
    <w:abstractNumId w:val="8"/>
  </w:num>
  <w:num w:numId="13" w16cid:durableId="1512793142">
    <w:abstractNumId w:val="17"/>
  </w:num>
  <w:num w:numId="14" w16cid:durableId="1933588284">
    <w:abstractNumId w:val="20"/>
  </w:num>
  <w:num w:numId="15" w16cid:durableId="1654066385">
    <w:abstractNumId w:val="14"/>
  </w:num>
  <w:num w:numId="16" w16cid:durableId="1340035793">
    <w:abstractNumId w:val="16"/>
  </w:num>
  <w:num w:numId="17" w16cid:durableId="1143351672">
    <w:abstractNumId w:val="11"/>
  </w:num>
  <w:num w:numId="18" w16cid:durableId="367609783">
    <w:abstractNumId w:val="0"/>
  </w:num>
  <w:num w:numId="19" w16cid:durableId="1050567632">
    <w:abstractNumId w:val="12"/>
  </w:num>
  <w:num w:numId="20" w16cid:durableId="641036855">
    <w:abstractNumId w:val="20"/>
  </w:num>
  <w:num w:numId="21" w16cid:durableId="1543052595">
    <w:abstractNumId w:val="20"/>
  </w:num>
  <w:num w:numId="22" w16cid:durableId="403184700">
    <w:abstractNumId w:val="20"/>
  </w:num>
  <w:num w:numId="23" w16cid:durableId="60293793">
    <w:abstractNumId w:val="20"/>
  </w:num>
  <w:num w:numId="24" w16cid:durableId="1054499407">
    <w:abstractNumId w:val="17"/>
  </w:num>
  <w:num w:numId="25" w16cid:durableId="1055666462">
    <w:abstractNumId w:val="18"/>
  </w:num>
  <w:num w:numId="26" w16cid:durableId="1543205747">
    <w:abstractNumId w:val="21"/>
  </w:num>
  <w:num w:numId="27" w16cid:durableId="1379931972">
    <w:abstractNumId w:val="22"/>
  </w:num>
  <w:num w:numId="28" w16cid:durableId="375542611">
    <w:abstractNumId w:val="20"/>
  </w:num>
  <w:num w:numId="29" w16cid:durableId="306056197">
    <w:abstractNumId w:val="13"/>
  </w:num>
  <w:num w:numId="30" w16cid:durableId="14747861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63"/>
    <w:rsid w:val="00001899"/>
    <w:rsid w:val="000049AD"/>
    <w:rsid w:val="0000681B"/>
    <w:rsid w:val="000133C0"/>
    <w:rsid w:val="00014C4E"/>
    <w:rsid w:val="00017107"/>
    <w:rsid w:val="000202E2"/>
    <w:rsid w:val="00022441"/>
    <w:rsid w:val="0002261E"/>
    <w:rsid w:val="00024839"/>
    <w:rsid w:val="00026871"/>
    <w:rsid w:val="0003419B"/>
    <w:rsid w:val="00037A98"/>
    <w:rsid w:val="00037EC2"/>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199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4C7B"/>
    <w:rsid w:val="002467C6"/>
    <w:rsid w:val="0024692A"/>
    <w:rsid w:val="00252BBA"/>
    <w:rsid w:val="00253123"/>
    <w:rsid w:val="0025335B"/>
    <w:rsid w:val="00264001"/>
    <w:rsid w:val="00266354"/>
    <w:rsid w:val="00267A18"/>
    <w:rsid w:val="00273462"/>
    <w:rsid w:val="0027395B"/>
    <w:rsid w:val="00275854"/>
    <w:rsid w:val="00283B41"/>
    <w:rsid w:val="00285F28"/>
    <w:rsid w:val="00286398"/>
    <w:rsid w:val="00287D65"/>
    <w:rsid w:val="002A3C42"/>
    <w:rsid w:val="002A5D75"/>
    <w:rsid w:val="002B1B1A"/>
    <w:rsid w:val="002B3863"/>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4017"/>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0C9B"/>
    <w:rsid w:val="00412C8E"/>
    <w:rsid w:val="0041518D"/>
    <w:rsid w:val="00417FE8"/>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5587A"/>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27195"/>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42AF"/>
    <w:rsid w:val="008854F7"/>
    <w:rsid w:val="00885A9D"/>
    <w:rsid w:val="008929D2"/>
    <w:rsid w:val="00893636"/>
    <w:rsid w:val="00893B94"/>
    <w:rsid w:val="00896E9D"/>
    <w:rsid w:val="00896F11"/>
    <w:rsid w:val="008A1049"/>
    <w:rsid w:val="008A1C98"/>
    <w:rsid w:val="008A1D8D"/>
    <w:rsid w:val="008A215E"/>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429D"/>
    <w:rsid w:val="00A651A4"/>
    <w:rsid w:val="00A71361"/>
    <w:rsid w:val="00A746E2"/>
    <w:rsid w:val="00A81FF2"/>
    <w:rsid w:val="00A83904"/>
    <w:rsid w:val="00A90A79"/>
    <w:rsid w:val="00A96B30"/>
    <w:rsid w:val="00AA442D"/>
    <w:rsid w:val="00AA59B5"/>
    <w:rsid w:val="00AA7777"/>
    <w:rsid w:val="00AA7B84"/>
    <w:rsid w:val="00AC09F6"/>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1D9"/>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247"/>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0BE5"/>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5DF0"/>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1BD6"/>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6E30"/>
    <w:rsid w:val="00E97E4E"/>
    <w:rsid w:val="00EA1CC2"/>
    <w:rsid w:val="00EA2D76"/>
    <w:rsid w:val="00EA4644"/>
    <w:rsid w:val="00EA758A"/>
    <w:rsid w:val="00EB096F"/>
    <w:rsid w:val="00EB199F"/>
    <w:rsid w:val="00EB21A4"/>
    <w:rsid w:val="00EB27C4"/>
    <w:rsid w:val="00EB5387"/>
    <w:rsid w:val="00EB5C10"/>
    <w:rsid w:val="00EB7322"/>
    <w:rsid w:val="00EC0EE9"/>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0BDD"/>
    <w:rsid w:val="00F43B9D"/>
    <w:rsid w:val="00F44D5E"/>
    <w:rsid w:val="00F53A35"/>
    <w:rsid w:val="00F55A3D"/>
    <w:rsid w:val="00F5744B"/>
    <w:rsid w:val="00F61209"/>
    <w:rsid w:val="00F6259E"/>
    <w:rsid w:val="00F65DD4"/>
    <w:rsid w:val="00F672B2"/>
    <w:rsid w:val="00F83973"/>
    <w:rsid w:val="00F87FA3"/>
    <w:rsid w:val="00F93D8C"/>
    <w:rsid w:val="00FA0FBB"/>
    <w:rsid w:val="00FA3102"/>
    <w:rsid w:val="00FA48D4"/>
    <w:rsid w:val="00FA54FA"/>
    <w:rsid w:val="00FA6D39"/>
    <w:rsid w:val="00FB2042"/>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C5F1D"/>
  <w14:defaultImageDpi w14:val="330"/>
  <w15:docId w15:val="{4C849616-BF52-4DE5-B5E0-E008FB9F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TekstChar">
    <w:name w:val="Tekst Char"/>
    <w:link w:val="Tekst"/>
    <w:locked/>
    <w:rsid w:val="00304017"/>
    <w:rPr>
      <w:sz w:val="18"/>
      <w:lang w:eastAsia="en-US"/>
    </w:rPr>
  </w:style>
  <w:style w:type="paragraph" w:customStyle="1" w:styleId="Tekst">
    <w:name w:val="Tekst"/>
    <w:basedOn w:val="Normal"/>
    <w:link w:val="TekstChar"/>
    <w:rsid w:val="00304017"/>
    <w:pPr>
      <w:widowControl w:val="0"/>
      <w:tabs>
        <w:tab w:val="left" w:pos="284"/>
      </w:tabs>
      <w:spacing w:line="240" w:lineRule="auto"/>
      <w:jc w:val="both"/>
    </w:pPr>
    <w:rPr>
      <w:sz w:val="18"/>
      <w:szCs w:val="20"/>
      <w:lang w:eastAsia="en-US"/>
    </w:rPr>
  </w:style>
  <w:style w:type="character" w:customStyle="1" w:styleId="APEMBesediloZnak">
    <w:name w:val="APEM Besedilo Znak"/>
    <w:basedOn w:val="DefaultParagraphFont"/>
    <w:link w:val="APEMBesedilo"/>
    <w:locked/>
    <w:rsid w:val="00304017"/>
    <w:rPr>
      <w:rFonts w:ascii="Cambria" w:hAnsi="Cambria" w:cs="Arial"/>
      <w:color w:val="000000"/>
      <w:sz w:val="22"/>
      <w:szCs w:val="22"/>
      <w:lang w:eastAsia="en-US"/>
    </w:rPr>
  </w:style>
  <w:style w:type="paragraph" w:customStyle="1" w:styleId="APEMBesedilo">
    <w:name w:val="APEM Besedilo"/>
    <w:basedOn w:val="Normal"/>
    <w:link w:val="APEMBesediloZnak"/>
    <w:rsid w:val="00304017"/>
    <w:pPr>
      <w:tabs>
        <w:tab w:val="left" w:pos="284"/>
      </w:tabs>
      <w:spacing w:line="240" w:lineRule="auto"/>
      <w:jc w:val="both"/>
    </w:pPr>
    <w:rPr>
      <w:rFonts w:ascii="Cambria" w:hAnsi="Cambria" w:cs="Arial"/>
      <w:color w:val="000000"/>
      <w:sz w:val="22"/>
      <w:szCs w:val="22"/>
      <w:lang w:eastAsia="en-US"/>
    </w:rPr>
  </w:style>
  <w:style w:type="character" w:styleId="Hyperlink">
    <w:name w:val="Hyperlink"/>
    <w:basedOn w:val="DefaultParagraphFont"/>
    <w:unhideWhenUsed/>
    <w:rsid w:val="00AE61D9"/>
    <w:rPr>
      <w:color w:val="0000FF" w:themeColor="hyperlink"/>
      <w:u w:val="single"/>
    </w:rPr>
  </w:style>
  <w:style w:type="character" w:styleId="UnresolvedMention">
    <w:name w:val="Unresolved Mention"/>
    <w:basedOn w:val="DefaultParagraphFont"/>
    <w:uiPriority w:val="99"/>
    <w:semiHidden/>
    <w:unhideWhenUsed/>
    <w:rsid w:val="00AE6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904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eeeauthorcenter.ieee.org/wp-content/uploads/IEEE-Reference-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ljesa\AppData\Local\Temp\7zO0676692E\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3873-53A5-432A-BFA3-DAA5653B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73</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8426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Ugljesa</dc:creator>
  <cp:lastModifiedBy>Uglješa Marjanović</cp:lastModifiedBy>
  <cp:revision>18</cp:revision>
  <cp:lastPrinted>2011-07-22T14:54:00Z</cp:lastPrinted>
  <dcterms:created xsi:type="dcterms:W3CDTF">2019-07-14T00:05:00Z</dcterms:created>
  <dcterms:modified xsi:type="dcterms:W3CDTF">2023-09-13T21:04:00Z</dcterms:modified>
</cp:coreProperties>
</file>